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23" w:rsidRPr="000F3F9B" w:rsidRDefault="00206023" w:rsidP="00206023">
      <w:pPr>
        <w:jc w:val="center"/>
        <w:rPr>
          <w:rFonts w:eastAsia="Times New Roman"/>
          <w:b/>
          <w:spacing w:val="-9"/>
          <w:lang w:val="uk-UA" w:eastAsia="ru-RU" w:bidi="ar-SA"/>
        </w:rPr>
      </w:pPr>
      <w:bookmarkStart w:id="0" w:name="_GoBack"/>
      <w:bookmarkEnd w:id="0"/>
      <w:r w:rsidRPr="000F3F9B">
        <w:rPr>
          <w:rFonts w:eastAsia="Times New Roman"/>
          <w:b/>
          <w:spacing w:val="-9"/>
          <w:lang w:val="uk-UA" w:eastAsia="ru-RU" w:bidi="ar-SA"/>
        </w:rPr>
        <w:t>ЄВРОПЕЙСЬКИЙ СУД З ПРАВ ЛЮДИНИ</w:t>
      </w:r>
    </w:p>
    <w:p w:rsidR="00206023" w:rsidRPr="000F3F9B" w:rsidRDefault="00206023" w:rsidP="00206023">
      <w:pPr>
        <w:tabs>
          <w:tab w:val="left" w:pos="560"/>
        </w:tabs>
        <w:jc w:val="center"/>
        <w:rPr>
          <w:rFonts w:eastAsia="Times New Roman"/>
          <w:bCs/>
          <w:caps/>
          <w:spacing w:val="-9"/>
          <w:lang w:val="uk-UA" w:eastAsia="ru-RU" w:bidi="ar-SA"/>
        </w:rPr>
      </w:pPr>
      <w:r w:rsidRPr="000F3F9B">
        <w:rPr>
          <w:rFonts w:eastAsia="Times New Roman"/>
          <w:spacing w:val="-9"/>
          <w:lang w:val="uk-UA" w:eastAsia="ru-RU" w:bidi="ar-SA"/>
        </w:rPr>
        <w:t xml:space="preserve">СПРАВА </w:t>
      </w:r>
      <w:r w:rsidRPr="000F3F9B">
        <w:rPr>
          <w:rFonts w:eastAsia="Times New Roman"/>
          <w:bCs/>
          <w:caps/>
          <w:spacing w:val="-9"/>
          <w:lang w:val="uk-UA" w:eastAsia="ru-RU" w:bidi="ar-SA"/>
        </w:rPr>
        <w:t>«</w:t>
      </w:r>
      <w:r w:rsidR="001401F5">
        <w:rPr>
          <w:rFonts w:eastAsia="Times New Roman"/>
          <w:bCs/>
          <w:caps/>
          <w:spacing w:val="-9"/>
          <w:lang w:val="uk-UA" w:eastAsia="ru-RU" w:bidi="ar-SA"/>
        </w:rPr>
        <w:t>скоморохов ПРОТИ</w:t>
      </w:r>
      <w:r w:rsidRPr="000F3F9B">
        <w:rPr>
          <w:rFonts w:eastAsia="Times New Roman"/>
          <w:spacing w:val="-9"/>
          <w:lang w:val="uk-UA" w:eastAsia="ru-RU" w:bidi="ar-SA"/>
        </w:rPr>
        <w:t xml:space="preserve"> УКРАЇНИ</w:t>
      </w:r>
      <w:r w:rsidRPr="000F3F9B">
        <w:rPr>
          <w:rFonts w:eastAsia="Times New Roman"/>
          <w:bCs/>
          <w:caps/>
          <w:spacing w:val="-9"/>
          <w:lang w:val="uk-UA" w:eastAsia="ru-RU" w:bidi="ar-SA"/>
        </w:rPr>
        <w:t>»</w:t>
      </w:r>
    </w:p>
    <w:p w:rsidR="00206023" w:rsidRPr="000F3F9B" w:rsidRDefault="00206023" w:rsidP="00206023">
      <w:pPr>
        <w:jc w:val="center"/>
        <w:rPr>
          <w:spacing w:val="-9"/>
          <w:lang w:val="uk-UA" w:bidi="ar-SA"/>
        </w:rPr>
      </w:pPr>
      <w:r w:rsidRPr="000F3F9B">
        <w:rPr>
          <w:spacing w:val="-9"/>
          <w:lang w:val="uk-UA" w:bidi="ar-SA"/>
        </w:rPr>
        <w:t xml:space="preserve">(CASE OF </w:t>
      </w:r>
      <w:r w:rsidR="001401F5">
        <w:rPr>
          <w:spacing w:val="-9"/>
          <w:lang w:val="uk-UA" w:bidi="ar-SA"/>
        </w:rPr>
        <w:t>ІЛЩЬЩКЩЛРЩМ</w:t>
      </w:r>
      <w:r w:rsidRPr="000F3F9B">
        <w:rPr>
          <w:spacing w:val="-9"/>
          <w:lang w:val="uk-UA" w:bidi="ar-SA"/>
        </w:rPr>
        <w:t xml:space="preserve"> v. UKRAINE)</w:t>
      </w:r>
    </w:p>
    <w:p w:rsidR="00206023" w:rsidRPr="000F3F9B" w:rsidRDefault="00206023" w:rsidP="00206023">
      <w:pPr>
        <w:jc w:val="center"/>
        <w:rPr>
          <w:i/>
          <w:spacing w:val="-9"/>
          <w:lang w:val="uk-UA" w:bidi="ar-SA"/>
        </w:rPr>
      </w:pPr>
      <w:r w:rsidRPr="000F3F9B">
        <w:rPr>
          <w:spacing w:val="-9"/>
          <w:lang w:val="uk-UA" w:bidi="ar-SA"/>
        </w:rPr>
        <w:t>(</w:t>
      </w:r>
      <w:proofErr w:type="spellStart"/>
      <w:r w:rsidR="00A169C4" w:rsidRPr="000F3F9B">
        <w:rPr>
          <w:spacing w:val="-9"/>
          <w:lang w:val="uk-UA" w:bidi="ar-SA"/>
        </w:rPr>
        <w:t>з</w:t>
      </w:r>
      <w:r w:rsidRPr="000F3F9B">
        <w:rPr>
          <w:spacing w:val="-9"/>
          <w:lang w:val="uk-UA" w:bidi="ar-SA"/>
        </w:rPr>
        <w:t>аява№</w:t>
      </w:r>
      <w:proofErr w:type="spellEnd"/>
      <w:r w:rsidRPr="000F3F9B">
        <w:rPr>
          <w:spacing w:val="-9"/>
          <w:lang w:val="uk-UA" w:bidi="ar-SA"/>
        </w:rPr>
        <w:t xml:space="preserve"> </w:t>
      </w:r>
      <w:r w:rsidR="001401F5">
        <w:rPr>
          <w:lang w:val="uk-UA"/>
        </w:rPr>
        <w:t>58662</w:t>
      </w:r>
      <w:r w:rsidR="009C79EC" w:rsidRPr="000F3F9B">
        <w:rPr>
          <w:lang w:val="uk-UA"/>
        </w:rPr>
        <w:t>/1</w:t>
      </w:r>
      <w:r w:rsidR="001401F5">
        <w:rPr>
          <w:lang w:val="uk-UA"/>
        </w:rPr>
        <w:t>1</w:t>
      </w:r>
      <w:r w:rsidRPr="000F3F9B">
        <w:rPr>
          <w:spacing w:val="-9"/>
          <w:lang w:val="uk-UA" w:bidi="ar-SA"/>
        </w:rPr>
        <w:t>)</w:t>
      </w:r>
    </w:p>
    <w:p w:rsidR="00206023" w:rsidRPr="000F3F9B" w:rsidRDefault="00206023" w:rsidP="00206023">
      <w:pPr>
        <w:tabs>
          <w:tab w:val="left" w:pos="426"/>
        </w:tabs>
        <w:jc w:val="center"/>
        <w:rPr>
          <w:i/>
          <w:spacing w:val="-9"/>
          <w:sz w:val="12"/>
          <w:szCs w:val="12"/>
          <w:lang w:val="uk-UA" w:bidi="ar-SA"/>
        </w:rPr>
      </w:pPr>
    </w:p>
    <w:p w:rsidR="00206023" w:rsidRPr="000F3F9B" w:rsidRDefault="00206023" w:rsidP="00206023">
      <w:pPr>
        <w:jc w:val="center"/>
        <w:rPr>
          <w:rFonts w:eastAsia="Times New Roman"/>
          <w:b/>
          <w:spacing w:val="-9"/>
          <w:lang w:val="uk-UA" w:eastAsia="ru-RU" w:bidi="ar-SA"/>
        </w:rPr>
      </w:pPr>
      <w:r w:rsidRPr="000F3F9B">
        <w:rPr>
          <w:rFonts w:eastAsia="Times New Roman"/>
          <w:b/>
          <w:spacing w:val="-9"/>
          <w:lang w:val="uk-UA" w:eastAsia="ru-RU" w:bidi="ar-SA"/>
        </w:rPr>
        <w:t xml:space="preserve">Стислий виклад рішення від </w:t>
      </w:r>
      <w:r w:rsidR="001401F5">
        <w:rPr>
          <w:rFonts w:eastAsia="Times New Roman"/>
          <w:b/>
          <w:spacing w:val="-9"/>
          <w:lang w:val="uk-UA" w:eastAsia="ru-RU" w:bidi="ar-SA"/>
        </w:rPr>
        <w:t>26 вересня</w:t>
      </w:r>
      <w:r w:rsidRPr="000F3F9B">
        <w:rPr>
          <w:rFonts w:eastAsia="Times New Roman"/>
          <w:b/>
          <w:spacing w:val="-9"/>
          <w:lang w:val="uk-UA" w:eastAsia="ru-RU" w:bidi="ar-SA"/>
        </w:rPr>
        <w:t xml:space="preserve"> 201</w:t>
      </w:r>
      <w:r w:rsidR="00DE0A49" w:rsidRPr="000F3F9B">
        <w:rPr>
          <w:rFonts w:eastAsia="Times New Roman"/>
          <w:b/>
          <w:spacing w:val="-9"/>
          <w:lang w:val="uk-UA" w:eastAsia="ru-RU" w:bidi="ar-SA"/>
        </w:rPr>
        <w:t>9</w:t>
      </w:r>
      <w:r w:rsidRPr="000F3F9B">
        <w:rPr>
          <w:rFonts w:eastAsia="Times New Roman"/>
          <w:b/>
          <w:spacing w:val="-9"/>
          <w:lang w:val="uk-UA" w:eastAsia="ru-RU" w:bidi="ar-SA"/>
        </w:rPr>
        <w:t xml:space="preserve"> року</w:t>
      </w:r>
    </w:p>
    <w:p w:rsidR="00206023" w:rsidRPr="000F3F9B" w:rsidRDefault="00206023" w:rsidP="00B9304B">
      <w:pPr>
        <w:pStyle w:val="ECHRPara"/>
        <w:ind w:firstLine="0"/>
        <w:rPr>
          <w:rFonts w:eastAsia="Times New Roman"/>
          <w:color w:val="000000"/>
          <w:sz w:val="12"/>
          <w:szCs w:val="12"/>
          <w:lang w:val="uk-UA"/>
        </w:rPr>
      </w:pPr>
    </w:p>
    <w:p w:rsidR="001401F5" w:rsidRDefault="001401F5" w:rsidP="0095014D">
      <w:pPr>
        <w:pStyle w:val="ECHRPara"/>
        <w:ind w:firstLine="567"/>
        <w:rPr>
          <w:szCs w:val="24"/>
          <w:lang w:val="uk-UA"/>
        </w:rPr>
      </w:pPr>
      <w:r>
        <w:rPr>
          <w:szCs w:val="24"/>
          <w:lang w:val="uk-UA"/>
        </w:rPr>
        <w:t>У березні 2002 року заявника було затримано за підозрою у вчиненні низки кримінальних</w:t>
      </w:r>
    </w:p>
    <w:p w:rsidR="001401F5" w:rsidRDefault="001401F5" w:rsidP="001401F5">
      <w:pPr>
        <w:pStyle w:val="ECHRPara"/>
        <w:ind w:firstLine="0"/>
        <w:rPr>
          <w:szCs w:val="24"/>
          <w:lang w:val="uk-UA"/>
        </w:rPr>
      </w:pPr>
      <w:r>
        <w:rPr>
          <w:szCs w:val="24"/>
          <w:lang w:val="uk-UA"/>
        </w:rPr>
        <w:t>Правопорушень в Одеській області та м. Івано-Франківськ. Згідно з твердженням заявника, він</w:t>
      </w:r>
    </w:p>
    <w:p w:rsidR="001401F5" w:rsidRDefault="001401F5" w:rsidP="001401F5">
      <w:pPr>
        <w:pStyle w:val="ECHRPara"/>
        <w:ind w:firstLine="0"/>
        <w:rPr>
          <w:szCs w:val="24"/>
          <w:lang w:val="uk-UA"/>
        </w:rPr>
      </w:pPr>
      <w:r>
        <w:rPr>
          <w:szCs w:val="24"/>
          <w:lang w:val="uk-UA"/>
        </w:rPr>
        <w:t>Зазнав жорсткого поводження працівників відділу міліції мікрорайону «Східний»</w:t>
      </w:r>
      <w:r w:rsidR="00CC4EF3">
        <w:rPr>
          <w:szCs w:val="24"/>
          <w:lang w:val="uk-UA"/>
        </w:rPr>
        <w:t xml:space="preserve"> в </w:t>
      </w:r>
      <w:proofErr w:type="spellStart"/>
      <w:r w:rsidR="00CC4EF3">
        <w:rPr>
          <w:szCs w:val="24"/>
          <w:lang w:val="uk-UA"/>
        </w:rPr>
        <w:t>Орджо</w:t>
      </w:r>
      <w:r>
        <w:rPr>
          <w:szCs w:val="24"/>
          <w:lang w:val="uk-UA"/>
        </w:rPr>
        <w:t>нікідзевському</w:t>
      </w:r>
      <w:proofErr w:type="spellEnd"/>
      <w:r>
        <w:rPr>
          <w:szCs w:val="24"/>
          <w:lang w:val="uk-UA"/>
        </w:rPr>
        <w:t xml:space="preserve"> районі м. Маріуполь з метою отримання від нього пізнавальних показань.</w:t>
      </w:r>
    </w:p>
    <w:p w:rsidR="001401F5" w:rsidRDefault="001401F5" w:rsidP="001401F5">
      <w:pPr>
        <w:pStyle w:val="ECHRPara"/>
        <w:ind w:firstLine="0"/>
        <w:rPr>
          <w:szCs w:val="24"/>
          <w:lang w:val="uk-UA"/>
        </w:rPr>
      </w:pPr>
      <w:r>
        <w:rPr>
          <w:szCs w:val="24"/>
          <w:lang w:val="uk-UA"/>
        </w:rPr>
        <w:t xml:space="preserve">Не витримавши подальших катувань, заявник погодився надати </w:t>
      </w:r>
      <w:proofErr w:type="spellStart"/>
      <w:r>
        <w:rPr>
          <w:szCs w:val="24"/>
          <w:lang w:val="uk-UA"/>
        </w:rPr>
        <w:t>зізнавальні</w:t>
      </w:r>
      <w:proofErr w:type="spellEnd"/>
      <w:r>
        <w:rPr>
          <w:szCs w:val="24"/>
          <w:lang w:val="uk-UA"/>
        </w:rPr>
        <w:t xml:space="preserve"> показання щодо </w:t>
      </w:r>
      <w:r w:rsidR="004538C0">
        <w:rPr>
          <w:szCs w:val="24"/>
          <w:lang w:val="uk-UA"/>
        </w:rPr>
        <w:t>нерозкритих злочинів та написав шість явок з повинною. Згодом прокурор призначив медичний огляд заявника судово-медичним експертом, який зафіксував у заявника низку тілесних ушкодження.</w:t>
      </w:r>
    </w:p>
    <w:p w:rsidR="004538C0" w:rsidRDefault="004538C0" w:rsidP="001401F5">
      <w:pPr>
        <w:pStyle w:val="ECHRPara"/>
        <w:ind w:firstLine="0"/>
        <w:rPr>
          <w:szCs w:val="24"/>
          <w:lang w:val="uk-UA"/>
        </w:rPr>
      </w:pPr>
      <w:r>
        <w:rPr>
          <w:szCs w:val="24"/>
          <w:lang w:val="uk-UA"/>
        </w:rPr>
        <w:tab/>
        <w:t>У жовтні 2002 року заявника було визнано винним у бандитизмі та вчиненні вбивства в м. Івано-Франківськ та обрано покарання у вигляді позбавлення волі строком  на шість років.</w:t>
      </w:r>
    </w:p>
    <w:p w:rsidR="004538C0" w:rsidRDefault="004538C0" w:rsidP="001401F5">
      <w:pPr>
        <w:pStyle w:val="ECHRPara"/>
        <w:ind w:firstLine="0"/>
        <w:rPr>
          <w:szCs w:val="24"/>
          <w:lang w:val="uk-UA"/>
        </w:rPr>
      </w:pPr>
      <w:r>
        <w:rPr>
          <w:szCs w:val="24"/>
          <w:lang w:val="uk-UA"/>
        </w:rPr>
        <w:tab/>
        <w:t>Крім того, у період з червня 2002 року до червня 2003 року щодо заявника було порушено низку кримінальних проваджень, одне з яких стосувалося вбивства в Одеській області. За відсутності захисника заявника неодноразово допитували як свідка в кримінальних провадженнях</w:t>
      </w:r>
      <w:r w:rsidR="00CC4EF3">
        <w:rPr>
          <w:szCs w:val="24"/>
          <w:lang w:val="uk-UA"/>
        </w:rPr>
        <w:t>, підозрюваного та згодом, як обвинуваченого у вчиненні умисного вбивства, однак заявник заперечував свою причетність до злочинів.</w:t>
      </w:r>
    </w:p>
    <w:p w:rsidR="00CC4EF3" w:rsidRDefault="00CC4EF3" w:rsidP="00CC4EF3">
      <w:pPr>
        <w:pStyle w:val="ECHRPara"/>
        <w:ind w:firstLine="567"/>
        <w:rPr>
          <w:szCs w:val="24"/>
          <w:lang w:val="uk-UA"/>
        </w:rPr>
      </w:pPr>
      <w:r>
        <w:rPr>
          <w:szCs w:val="24"/>
          <w:lang w:val="uk-UA"/>
        </w:rPr>
        <w:t>Під час судового розгляду заявник постійно стверджував, що обвинувачення ґрунтувалися на показаннях, отриманих шляхом катування, та з порушенням його права на захист. У зв’язку з цим заявник неодноразово скаржився до прокуратури на катування його працівниками міліції, од</w:t>
      </w:r>
      <w:r w:rsidR="005B1F35">
        <w:rPr>
          <w:szCs w:val="24"/>
          <w:lang w:val="uk-UA"/>
        </w:rPr>
        <w:t>нак прокуратура повідомляла його</w:t>
      </w:r>
      <w:r>
        <w:rPr>
          <w:szCs w:val="24"/>
          <w:lang w:val="uk-UA"/>
        </w:rPr>
        <w:t xml:space="preserve"> про відсутність доказів щодо цього</w:t>
      </w:r>
      <w:r w:rsidR="005B1F35">
        <w:rPr>
          <w:szCs w:val="24"/>
          <w:lang w:val="uk-UA"/>
        </w:rPr>
        <w:t>. Національні суди також відхилили його скарги на жорстке поводження у зв’язку з необґрунтованістю.</w:t>
      </w:r>
    </w:p>
    <w:p w:rsidR="005B1F35" w:rsidRDefault="005B1F35" w:rsidP="00CC4EF3">
      <w:pPr>
        <w:pStyle w:val="ECHRPara"/>
        <w:ind w:firstLine="567"/>
        <w:rPr>
          <w:szCs w:val="24"/>
          <w:lang w:val="uk-UA"/>
        </w:rPr>
      </w:pPr>
      <w:r>
        <w:rPr>
          <w:szCs w:val="24"/>
          <w:lang w:val="uk-UA"/>
        </w:rPr>
        <w:t>У 2007 році заявника було визнано винним у вчиненні вбивства в Одеській області та обрано покарання у вигляді довічного позбавлення волі.</w:t>
      </w:r>
    </w:p>
    <w:p w:rsidR="005B1F35" w:rsidRDefault="005B1F35" w:rsidP="00CC4EF3">
      <w:pPr>
        <w:pStyle w:val="ECHRPara"/>
        <w:ind w:firstLine="567"/>
        <w:rPr>
          <w:szCs w:val="24"/>
          <w:lang w:val="uk-UA"/>
        </w:rPr>
      </w:pPr>
      <w:r>
        <w:rPr>
          <w:szCs w:val="24"/>
          <w:lang w:val="uk-UA"/>
        </w:rPr>
        <w:t>До європейського суду з прав людини (далі – Європейський суд) заявник скаржився за статтею 3 Конвенції про захист прав людини і основоположних свобод (далі - Конвенція) на жорстке поводження з ним</w:t>
      </w:r>
      <w:r w:rsidR="001B6DE3">
        <w:rPr>
          <w:szCs w:val="24"/>
          <w:lang w:val="uk-UA"/>
        </w:rPr>
        <w:t xml:space="preserve"> працівників міліції з метою отримання його </w:t>
      </w:r>
      <w:proofErr w:type="spellStart"/>
      <w:r w:rsidR="001B6DE3">
        <w:rPr>
          <w:szCs w:val="24"/>
          <w:lang w:val="uk-UA"/>
        </w:rPr>
        <w:t>зізнавальних</w:t>
      </w:r>
      <w:proofErr w:type="spellEnd"/>
      <w:r w:rsidR="001B6DE3">
        <w:rPr>
          <w:szCs w:val="24"/>
          <w:lang w:val="uk-UA"/>
        </w:rPr>
        <w:t xml:space="preserve"> показань у вчиненні вбивств та не проведення ефективного розслідування його скарг</w:t>
      </w:r>
    </w:p>
    <w:p w:rsidR="001B6DE3" w:rsidRDefault="001B6DE3" w:rsidP="00CC4EF3">
      <w:pPr>
        <w:pStyle w:val="ECHRPara"/>
        <w:ind w:firstLine="567"/>
        <w:rPr>
          <w:szCs w:val="24"/>
          <w:lang w:val="uk-UA"/>
        </w:rPr>
      </w:pPr>
      <w:r>
        <w:rPr>
          <w:szCs w:val="24"/>
          <w:lang w:val="uk-UA"/>
        </w:rPr>
        <w:t xml:space="preserve">Крім того, заявник висував скарги за пунктом 1 та підпунктом «с» пункту 3 статті 6 Конвенції на порушення його права на справедливий судовий розгляд у провадженні щодо вбивств в Одеській області у зв’язку з не призначенням йому державними органами захисника на початковій стадії слідства та використанням для його засудження </w:t>
      </w:r>
      <w:proofErr w:type="spellStart"/>
      <w:r>
        <w:rPr>
          <w:szCs w:val="24"/>
          <w:lang w:val="uk-UA"/>
        </w:rPr>
        <w:t>зізнавальних</w:t>
      </w:r>
      <w:proofErr w:type="spellEnd"/>
      <w:r>
        <w:rPr>
          <w:szCs w:val="24"/>
          <w:lang w:val="uk-UA"/>
        </w:rPr>
        <w:t xml:space="preserve"> показань, відібраних у нього внаслідок катувань.</w:t>
      </w:r>
    </w:p>
    <w:p w:rsidR="001B6DE3" w:rsidRDefault="001B6DE3" w:rsidP="00CC4EF3">
      <w:pPr>
        <w:pStyle w:val="ECHRPara"/>
        <w:ind w:firstLine="567"/>
        <w:rPr>
          <w:szCs w:val="24"/>
          <w:lang w:val="uk-UA"/>
        </w:rPr>
      </w:pPr>
      <w:r>
        <w:rPr>
          <w:szCs w:val="24"/>
          <w:lang w:val="uk-UA"/>
        </w:rPr>
        <w:t>Розглянувши скарги заявника на жорстке поводження з ним працівників міліції, Європейський суд</w:t>
      </w:r>
      <w:r w:rsidR="009072A1">
        <w:rPr>
          <w:szCs w:val="24"/>
          <w:lang w:val="uk-UA"/>
        </w:rPr>
        <w:t xml:space="preserve"> зазначив, що воно здійснювалося упродовж не задокументованого тримання заявника під вартою, було навмисним, тривало декілька годин протягом кількох днів поспіль та спрямовувалось на отримання від нього </w:t>
      </w:r>
      <w:proofErr w:type="spellStart"/>
      <w:r w:rsidR="009072A1">
        <w:rPr>
          <w:szCs w:val="24"/>
          <w:lang w:val="uk-UA"/>
        </w:rPr>
        <w:t>зізнавальних</w:t>
      </w:r>
      <w:proofErr w:type="spellEnd"/>
      <w:r w:rsidR="009072A1">
        <w:rPr>
          <w:szCs w:val="24"/>
          <w:lang w:val="uk-UA"/>
        </w:rPr>
        <w:t xml:space="preserve"> показань щодо злочинів, у вчиненні яких він підозрювався. Європейський суд дійшов висновку, що відповідне жорстке поводження у цілому та з урахуванням його мети і суворості становило катування у розумінні статті 3 Конвенції </w:t>
      </w:r>
      <w:r w:rsidR="002F0ADB">
        <w:rPr>
          <w:szCs w:val="24"/>
          <w:lang w:val="uk-UA"/>
        </w:rPr>
        <w:t>та констатував порушення.</w:t>
      </w:r>
    </w:p>
    <w:p w:rsidR="002F0ADB" w:rsidRDefault="002F0ADB" w:rsidP="00CC4EF3">
      <w:pPr>
        <w:pStyle w:val="ECHRPara"/>
        <w:ind w:firstLine="567"/>
        <w:rPr>
          <w:szCs w:val="24"/>
          <w:lang w:val="uk-UA"/>
        </w:rPr>
      </w:pPr>
      <w:r>
        <w:rPr>
          <w:szCs w:val="24"/>
          <w:lang w:val="uk-UA"/>
        </w:rPr>
        <w:t xml:space="preserve">Щодо скарг заявника на не проведення ефективного розслідування у зв’язку з жорстким поводженням, Європейський суд посилаючись на свою попередню практику, зазначив, що характер тверджень заявника та беззаперечні докази його версії подій були явно «небезпідставними», а отже органи </w:t>
      </w:r>
      <w:proofErr w:type="spellStart"/>
      <w:r>
        <w:rPr>
          <w:szCs w:val="24"/>
          <w:lang w:val="uk-UA"/>
        </w:rPr>
        <w:t>державной</w:t>
      </w:r>
      <w:proofErr w:type="spellEnd"/>
      <w:r>
        <w:rPr>
          <w:szCs w:val="24"/>
          <w:lang w:val="uk-UA"/>
        </w:rPr>
        <w:t xml:space="preserve"> влади повинні були провести ефективне розслідування </w:t>
      </w:r>
      <w:proofErr w:type="spellStart"/>
      <w:r>
        <w:rPr>
          <w:szCs w:val="24"/>
          <w:lang w:val="uk-UA"/>
        </w:rPr>
        <w:t>стверджуваних</w:t>
      </w:r>
      <w:proofErr w:type="spellEnd"/>
      <w:r>
        <w:rPr>
          <w:szCs w:val="24"/>
          <w:lang w:val="uk-UA"/>
        </w:rPr>
        <w:t xml:space="preserve"> заявником фактів такого поводження. Європейський суд дійшов висновку, що державні органи не виконали свого зобов’язання провести розслідування скарг заявника на катування та констатував порушення статті 3 Конвенції.</w:t>
      </w:r>
    </w:p>
    <w:p w:rsidR="002F0ADB" w:rsidRDefault="002F0ADB" w:rsidP="00CC4EF3">
      <w:pPr>
        <w:pStyle w:val="ECHRPara"/>
        <w:ind w:firstLine="567"/>
        <w:rPr>
          <w:szCs w:val="24"/>
          <w:lang w:val="uk-UA"/>
        </w:rPr>
      </w:pPr>
      <w:r>
        <w:rPr>
          <w:szCs w:val="24"/>
          <w:lang w:val="uk-UA"/>
        </w:rPr>
        <w:t xml:space="preserve">Розглянувши скарги заявника за пунктом 1 статті 6 Конвенції, європейський суд зауважив, що незалежно від того, підтвердив заявник свої </w:t>
      </w:r>
      <w:proofErr w:type="spellStart"/>
      <w:r w:rsidR="008C38D9">
        <w:rPr>
          <w:szCs w:val="24"/>
          <w:lang w:val="uk-UA"/>
        </w:rPr>
        <w:t>з</w:t>
      </w:r>
      <w:r>
        <w:rPr>
          <w:szCs w:val="24"/>
          <w:lang w:val="uk-UA"/>
        </w:rPr>
        <w:t>ізнавальні</w:t>
      </w:r>
      <w:proofErr w:type="spellEnd"/>
      <w:r>
        <w:rPr>
          <w:szCs w:val="24"/>
          <w:lang w:val="uk-UA"/>
        </w:rPr>
        <w:t xml:space="preserve"> показання </w:t>
      </w:r>
      <w:r w:rsidR="008C38D9">
        <w:rPr>
          <w:szCs w:val="24"/>
          <w:lang w:val="uk-UA"/>
        </w:rPr>
        <w:t>під час допиту як свідка, чи ні, використання таких доказів, отриманих внаслідок жорсткого поводження, яке становило катування, призвело до несправедливості провадження щодо заявника. З огляду на це, Європейський суд констатував порушення цього положення Конвенції, у зв’язку з порушенням права заявника не свідчити проти себе, а також дійшов висновку, що немає потреби розглядати решту його скарг за статтею 6 Конвенції.</w:t>
      </w:r>
    </w:p>
    <w:p w:rsidR="008C38D9" w:rsidRDefault="008C38D9" w:rsidP="00CC4EF3">
      <w:pPr>
        <w:pStyle w:val="ECHRPara"/>
        <w:ind w:firstLine="567"/>
        <w:rPr>
          <w:szCs w:val="24"/>
          <w:lang w:val="uk-UA"/>
        </w:rPr>
      </w:pPr>
    </w:p>
    <w:p w:rsidR="008C38D9" w:rsidRDefault="008C38D9" w:rsidP="00CC4EF3">
      <w:pPr>
        <w:pStyle w:val="ECHRPara"/>
        <w:ind w:firstLine="567"/>
        <w:rPr>
          <w:szCs w:val="24"/>
          <w:lang w:val="uk-UA"/>
        </w:rPr>
      </w:pPr>
      <w:r>
        <w:rPr>
          <w:szCs w:val="24"/>
          <w:lang w:val="uk-UA"/>
        </w:rPr>
        <w:lastRenderedPageBreak/>
        <w:t>ЗА ЦИХ ПІДСТАВ СУД ОДНОГОЛОСНО</w:t>
      </w:r>
    </w:p>
    <w:p w:rsidR="008C38D9" w:rsidRDefault="008C38D9" w:rsidP="008C38D9">
      <w:pPr>
        <w:pStyle w:val="ECHRPara"/>
        <w:ind w:firstLine="0"/>
        <w:rPr>
          <w:szCs w:val="24"/>
          <w:lang w:val="uk-UA"/>
        </w:rPr>
      </w:pPr>
    </w:p>
    <w:p w:rsidR="000E2276" w:rsidRDefault="008C38D9" w:rsidP="008C38D9">
      <w:pPr>
        <w:pStyle w:val="ECHRPara"/>
        <w:ind w:left="567" w:hanging="567"/>
        <w:rPr>
          <w:szCs w:val="24"/>
          <w:lang w:val="uk-UA"/>
        </w:rPr>
      </w:pPr>
      <w:r>
        <w:rPr>
          <w:szCs w:val="24"/>
          <w:lang w:val="uk-UA"/>
        </w:rPr>
        <w:t>«1.</w:t>
      </w:r>
      <w:r>
        <w:rPr>
          <w:szCs w:val="24"/>
          <w:lang w:val="uk-UA"/>
        </w:rPr>
        <w:tab/>
      </w:r>
      <w:r w:rsidRPr="008C38D9">
        <w:rPr>
          <w:i/>
          <w:szCs w:val="24"/>
          <w:lang w:val="uk-UA"/>
        </w:rPr>
        <w:t>Оголошує</w:t>
      </w:r>
      <w:r>
        <w:rPr>
          <w:szCs w:val="24"/>
          <w:lang w:val="uk-UA"/>
        </w:rPr>
        <w:t xml:space="preserve"> прийнятними скарги за статтею 3 Конвенції щодо </w:t>
      </w:r>
      <w:proofErr w:type="spellStart"/>
      <w:r>
        <w:rPr>
          <w:szCs w:val="24"/>
          <w:lang w:val="uk-UA"/>
        </w:rPr>
        <w:t>стверджуваного</w:t>
      </w:r>
      <w:proofErr w:type="spellEnd"/>
      <w:r>
        <w:rPr>
          <w:szCs w:val="24"/>
          <w:lang w:val="uk-UA"/>
        </w:rPr>
        <w:t xml:space="preserve"> катування заявника </w:t>
      </w:r>
      <w:r w:rsidR="000E2276">
        <w:rPr>
          <w:szCs w:val="24"/>
          <w:lang w:val="uk-UA"/>
        </w:rPr>
        <w:t>у відділі міліції та не проведення ефективного розслідування у зв’язку з цим, а також скарги за статтею 6 Конвенції щодо обмеження прав заявника на захист на початковій стадії провадження та використання для засудження;</w:t>
      </w:r>
    </w:p>
    <w:p w:rsidR="000E2276" w:rsidRDefault="000E2276" w:rsidP="000E2276">
      <w:pPr>
        <w:pStyle w:val="ECHRPara"/>
        <w:ind w:left="567" w:hanging="567"/>
        <w:rPr>
          <w:szCs w:val="24"/>
          <w:lang w:val="uk-UA"/>
        </w:rPr>
      </w:pPr>
      <w:r>
        <w:rPr>
          <w:szCs w:val="24"/>
          <w:lang w:val="uk-UA"/>
        </w:rPr>
        <w:t>2.</w:t>
      </w:r>
      <w:r>
        <w:rPr>
          <w:szCs w:val="24"/>
          <w:lang w:val="uk-UA"/>
        </w:rPr>
        <w:tab/>
      </w:r>
      <w:r w:rsidRPr="000E2276">
        <w:rPr>
          <w:i/>
          <w:szCs w:val="24"/>
          <w:lang w:val="uk-UA"/>
        </w:rPr>
        <w:t>Постановляє</w:t>
      </w:r>
      <w:r>
        <w:rPr>
          <w:szCs w:val="24"/>
          <w:lang w:val="uk-UA"/>
        </w:rPr>
        <w:t>, що було порушено статтю 3 Конвенції у зв’язку з катуванням заявника представниками держави;</w:t>
      </w:r>
    </w:p>
    <w:p w:rsidR="000E2276" w:rsidRDefault="000E2276" w:rsidP="000E2276">
      <w:pPr>
        <w:pStyle w:val="ECHRPara"/>
        <w:ind w:left="567" w:hanging="567"/>
        <w:rPr>
          <w:szCs w:val="24"/>
          <w:lang w:val="uk-UA"/>
        </w:rPr>
      </w:pPr>
      <w:r>
        <w:rPr>
          <w:szCs w:val="24"/>
          <w:lang w:val="uk-UA"/>
        </w:rPr>
        <w:t>3.</w:t>
      </w:r>
      <w:r>
        <w:rPr>
          <w:szCs w:val="24"/>
          <w:lang w:val="uk-UA"/>
        </w:rPr>
        <w:tab/>
      </w:r>
      <w:r w:rsidRPr="000E2276">
        <w:rPr>
          <w:i/>
          <w:szCs w:val="24"/>
          <w:lang w:val="uk-UA"/>
        </w:rPr>
        <w:t>Постановляє</w:t>
      </w:r>
      <w:r>
        <w:rPr>
          <w:szCs w:val="24"/>
          <w:lang w:val="uk-UA"/>
        </w:rPr>
        <w:t>, що було порушено статтю 3 Конвенції у зв’язку з не проведенням ефективного розслідування тверджень заявника про катування;</w:t>
      </w:r>
    </w:p>
    <w:p w:rsidR="00967C91" w:rsidRDefault="000E2276" w:rsidP="000E2276">
      <w:pPr>
        <w:pStyle w:val="ECHRPara"/>
        <w:ind w:left="567" w:hanging="567"/>
        <w:rPr>
          <w:szCs w:val="24"/>
          <w:lang w:val="uk-UA"/>
        </w:rPr>
      </w:pPr>
      <w:r>
        <w:rPr>
          <w:szCs w:val="24"/>
          <w:lang w:val="uk-UA"/>
        </w:rPr>
        <w:t>4.</w:t>
      </w:r>
      <w:r>
        <w:rPr>
          <w:szCs w:val="24"/>
          <w:lang w:val="uk-UA"/>
        </w:rPr>
        <w:tab/>
      </w:r>
      <w:r w:rsidRPr="000E2276">
        <w:rPr>
          <w:i/>
          <w:szCs w:val="24"/>
          <w:lang w:val="uk-UA"/>
        </w:rPr>
        <w:t>Постановляє</w:t>
      </w:r>
      <w:r>
        <w:rPr>
          <w:szCs w:val="24"/>
          <w:lang w:val="uk-UA"/>
        </w:rPr>
        <w:t xml:space="preserve">, що було порушено пункт 1 статті 6 Конвенції у зв’язку з використанням для </w:t>
      </w:r>
      <w:r w:rsidR="00967C91">
        <w:rPr>
          <w:szCs w:val="24"/>
          <w:lang w:val="uk-UA"/>
        </w:rPr>
        <w:t>засудження заявника показань, наданих ним внаслідок катування;</w:t>
      </w:r>
    </w:p>
    <w:p w:rsidR="00967C91" w:rsidRDefault="00967C91" w:rsidP="00967C91">
      <w:pPr>
        <w:pStyle w:val="ECHRPara"/>
        <w:ind w:left="567" w:hanging="567"/>
        <w:rPr>
          <w:szCs w:val="24"/>
          <w:lang w:val="uk-UA"/>
        </w:rPr>
      </w:pPr>
      <w:r>
        <w:rPr>
          <w:szCs w:val="24"/>
          <w:lang w:val="uk-UA"/>
        </w:rPr>
        <w:t>5.</w:t>
      </w:r>
      <w:r>
        <w:rPr>
          <w:szCs w:val="24"/>
          <w:lang w:val="uk-UA"/>
        </w:rPr>
        <w:tab/>
      </w:r>
      <w:r w:rsidRPr="000E2276">
        <w:rPr>
          <w:i/>
          <w:szCs w:val="24"/>
          <w:lang w:val="uk-UA"/>
        </w:rPr>
        <w:t>Постановляє</w:t>
      </w:r>
      <w:r>
        <w:rPr>
          <w:szCs w:val="24"/>
          <w:lang w:val="uk-UA"/>
        </w:rPr>
        <w:t xml:space="preserve">, що </w:t>
      </w:r>
      <w:r w:rsidR="000E2276">
        <w:rPr>
          <w:szCs w:val="24"/>
          <w:lang w:val="uk-UA"/>
        </w:rPr>
        <w:t xml:space="preserve">немає потреби розглядати решту скарг заявника за статтею 6 </w:t>
      </w:r>
      <w:r>
        <w:rPr>
          <w:szCs w:val="24"/>
          <w:lang w:val="uk-UA"/>
        </w:rPr>
        <w:t>Конвенції;</w:t>
      </w:r>
    </w:p>
    <w:p w:rsidR="00967C91" w:rsidRDefault="00967C91" w:rsidP="00967C91">
      <w:pPr>
        <w:pStyle w:val="ECHRPara"/>
        <w:ind w:left="567" w:hanging="567"/>
        <w:rPr>
          <w:szCs w:val="24"/>
          <w:lang w:val="uk-UA"/>
        </w:rPr>
      </w:pPr>
      <w:r>
        <w:rPr>
          <w:szCs w:val="24"/>
          <w:lang w:val="uk-UA"/>
        </w:rPr>
        <w:t>6.</w:t>
      </w:r>
      <w:r>
        <w:rPr>
          <w:szCs w:val="24"/>
          <w:lang w:val="uk-UA"/>
        </w:rPr>
        <w:tab/>
      </w:r>
      <w:r w:rsidRPr="000E2276">
        <w:rPr>
          <w:i/>
          <w:szCs w:val="24"/>
          <w:lang w:val="uk-UA"/>
        </w:rPr>
        <w:t>Постановляє</w:t>
      </w:r>
      <w:r>
        <w:rPr>
          <w:szCs w:val="24"/>
          <w:lang w:val="uk-UA"/>
        </w:rPr>
        <w:t>, що:</w:t>
      </w:r>
    </w:p>
    <w:p w:rsidR="00967C91" w:rsidRDefault="00967C91" w:rsidP="00967C91">
      <w:pPr>
        <w:pStyle w:val="ECHRPara"/>
        <w:ind w:left="567" w:firstLine="0"/>
        <w:rPr>
          <w:szCs w:val="24"/>
          <w:lang w:val="uk-UA"/>
        </w:rPr>
      </w:pPr>
      <w:r>
        <w:rPr>
          <w:szCs w:val="24"/>
          <w:lang w:val="uk-UA"/>
        </w:rPr>
        <w:t>(а) упродовж трьох місяців держава-відповідач повинна сплатити такі суми, які мають бути конвертовані в національну валюту держави-відповідача за курсом на день здійснення платежу:</w:t>
      </w:r>
    </w:p>
    <w:p w:rsidR="00967C91" w:rsidRDefault="00967C91" w:rsidP="00967C91">
      <w:pPr>
        <w:pStyle w:val="ECHRPara"/>
        <w:ind w:left="1416" w:firstLine="0"/>
        <w:rPr>
          <w:szCs w:val="24"/>
          <w:lang w:val="uk-UA"/>
        </w:rPr>
      </w:pPr>
      <w:r>
        <w:rPr>
          <w:szCs w:val="24"/>
          <w:lang w:val="uk-UA"/>
        </w:rPr>
        <w:t>(</w:t>
      </w:r>
      <w:proofErr w:type="spellStart"/>
      <w:r w:rsidR="00F50170">
        <w:rPr>
          <w:szCs w:val="24"/>
          <w:lang w:val="en-US"/>
        </w:rPr>
        <w:t>i</w:t>
      </w:r>
      <w:proofErr w:type="spellEnd"/>
      <w:r>
        <w:rPr>
          <w:szCs w:val="24"/>
          <w:lang w:val="uk-UA"/>
        </w:rPr>
        <w:t>) 16 000 (шістнадцять тисяч) євро та додатково суму будь-якого податку, що може нараховуватись, в якості відшкодування моральної шкоди, якої зазнав заявник у зв’язку зі встановленням порушення статті 3 Конвенції, які мають бути сплачені заявнику;</w:t>
      </w:r>
    </w:p>
    <w:p w:rsidR="00F50170" w:rsidRDefault="00967C91" w:rsidP="00967C91">
      <w:pPr>
        <w:pStyle w:val="ECHRPara"/>
        <w:ind w:left="1416" w:firstLine="0"/>
        <w:rPr>
          <w:szCs w:val="24"/>
          <w:lang w:val="uk-UA"/>
        </w:rPr>
      </w:pPr>
      <w:r>
        <w:rPr>
          <w:szCs w:val="24"/>
          <w:lang w:val="uk-UA"/>
        </w:rPr>
        <w:t>(</w:t>
      </w:r>
      <w:r w:rsidR="00F50170">
        <w:rPr>
          <w:szCs w:val="24"/>
          <w:lang w:val="en-US"/>
        </w:rPr>
        <w:t>ii</w:t>
      </w:r>
      <w:r>
        <w:rPr>
          <w:szCs w:val="24"/>
          <w:lang w:val="uk-UA"/>
        </w:rPr>
        <w:t>) 5 000 (п’ять тисяч)</w:t>
      </w:r>
      <w:r w:rsidR="00F50170">
        <w:rPr>
          <w:szCs w:val="24"/>
          <w:lang w:val="uk-UA"/>
        </w:rPr>
        <w:t xml:space="preserve"> євро та додатково суму будь-якого податку, що може нараховуватись заявнику, в якості компенсації судових та інших витрат, понесених під час провадження у Суді, які мають бути сплачені на банківський рахунок представника заявника, пана Олега Левицького;</w:t>
      </w:r>
    </w:p>
    <w:p w:rsidR="00F50170" w:rsidRPr="00F50170" w:rsidRDefault="00F50170" w:rsidP="00F50170">
      <w:pPr>
        <w:pStyle w:val="ECHRPara"/>
        <w:ind w:left="567" w:firstLine="0"/>
        <w:rPr>
          <w:szCs w:val="24"/>
          <w:lang w:val="uk-UA"/>
        </w:rPr>
      </w:pPr>
      <w:r>
        <w:rPr>
          <w:szCs w:val="24"/>
          <w:lang w:val="uk-UA"/>
        </w:rPr>
        <w:t>(</w:t>
      </w:r>
      <w:r>
        <w:rPr>
          <w:szCs w:val="24"/>
          <w:lang w:val="en-US"/>
        </w:rPr>
        <w:t>b</w:t>
      </w:r>
      <w:r>
        <w:rPr>
          <w:szCs w:val="24"/>
          <w:lang w:val="uk-UA"/>
        </w:rPr>
        <w:t>)</w:t>
      </w:r>
      <w:r w:rsidRPr="00F50170">
        <w:rPr>
          <w:szCs w:val="24"/>
          <w:lang w:val="uk-UA"/>
        </w:rPr>
        <w:t xml:space="preserve"> із закінченням зазначеного тримісячного строку до остаточного розрахунку на зазначені суми нараховуватиметься простий відсоток (</w:t>
      </w:r>
      <w:r>
        <w:rPr>
          <w:szCs w:val="24"/>
          <w:lang w:val="en-US"/>
        </w:rPr>
        <w:t>simple</w:t>
      </w:r>
      <w:r w:rsidRPr="00F50170">
        <w:rPr>
          <w:szCs w:val="24"/>
          <w:lang w:val="uk-UA"/>
        </w:rPr>
        <w:t xml:space="preserve"> </w:t>
      </w:r>
      <w:r>
        <w:rPr>
          <w:szCs w:val="24"/>
          <w:lang w:val="en-US"/>
        </w:rPr>
        <w:t>interest</w:t>
      </w:r>
      <w:r w:rsidRPr="00F50170">
        <w:rPr>
          <w:szCs w:val="24"/>
          <w:lang w:val="uk-UA"/>
        </w:rPr>
        <w:t xml:space="preserve">) у розмірі граничної </w:t>
      </w:r>
      <w:proofErr w:type="spellStart"/>
      <w:r w:rsidRPr="00F50170">
        <w:rPr>
          <w:szCs w:val="24"/>
          <w:lang w:val="uk-UA"/>
        </w:rPr>
        <w:t>позичковоїставки</w:t>
      </w:r>
      <w:proofErr w:type="spellEnd"/>
      <w:r w:rsidRPr="00F50170">
        <w:rPr>
          <w:szCs w:val="24"/>
          <w:lang w:val="uk-UA"/>
        </w:rPr>
        <w:t xml:space="preserve"> Європейського центрального банку, яка діятиме в період несплати, до якої має бути додано три відсоткові пункти;</w:t>
      </w:r>
    </w:p>
    <w:p w:rsidR="0082602C" w:rsidRDefault="00F50170" w:rsidP="00F50170">
      <w:pPr>
        <w:pStyle w:val="ECHRPara"/>
        <w:ind w:firstLine="0"/>
        <w:rPr>
          <w:szCs w:val="24"/>
          <w:lang w:val="uk-UA"/>
        </w:rPr>
      </w:pPr>
      <w:r>
        <w:rPr>
          <w:szCs w:val="24"/>
          <w:lang w:val="uk-UA"/>
        </w:rPr>
        <w:t xml:space="preserve">7. </w:t>
      </w:r>
      <w:r w:rsidRPr="000E2276">
        <w:rPr>
          <w:i/>
          <w:szCs w:val="24"/>
          <w:lang w:val="uk-UA"/>
        </w:rPr>
        <w:t>Постановляє</w:t>
      </w:r>
      <w:r>
        <w:rPr>
          <w:szCs w:val="24"/>
          <w:lang w:val="uk-UA"/>
        </w:rPr>
        <w:t xml:space="preserve">, що встановлення порушення пункту 1 статті 6 Конвенції само собою Становить справедливу сатисфакцію моральної шкоди, якої </w:t>
      </w:r>
      <w:r w:rsidR="0082602C">
        <w:rPr>
          <w:szCs w:val="24"/>
          <w:lang w:val="uk-UA"/>
        </w:rPr>
        <w:t>зазнав заявник у зв’язку з цим;</w:t>
      </w:r>
    </w:p>
    <w:p w:rsidR="008C38D9" w:rsidRDefault="0082602C" w:rsidP="00F50170">
      <w:pPr>
        <w:pStyle w:val="ECHRPara"/>
        <w:ind w:firstLine="0"/>
        <w:rPr>
          <w:szCs w:val="24"/>
          <w:lang w:val="uk-UA"/>
        </w:rPr>
      </w:pPr>
      <w:r>
        <w:rPr>
          <w:szCs w:val="24"/>
          <w:lang w:val="uk-UA"/>
        </w:rPr>
        <w:t>8. Відхиляє решту вимог заявника щодо справедливої сатисфакції</w:t>
      </w:r>
      <w:r w:rsidR="008C38D9">
        <w:rPr>
          <w:szCs w:val="24"/>
          <w:lang w:val="uk-UA"/>
        </w:rPr>
        <w:t>»</w:t>
      </w:r>
    </w:p>
    <w:p w:rsidR="004538C0" w:rsidRDefault="004538C0" w:rsidP="001401F5">
      <w:pPr>
        <w:pStyle w:val="ECHRPara"/>
        <w:ind w:firstLine="0"/>
        <w:rPr>
          <w:szCs w:val="24"/>
          <w:lang w:val="uk-UA"/>
        </w:rPr>
      </w:pPr>
    </w:p>
    <w:p w:rsidR="004538C0" w:rsidRDefault="004538C0" w:rsidP="001401F5">
      <w:pPr>
        <w:pStyle w:val="ECHRPara"/>
        <w:ind w:firstLine="0"/>
        <w:rPr>
          <w:szCs w:val="24"/>
          <w:lang w:val="uk-UA"/>
        </w:rPr>
      </w:pPr>
    </w:p>
    <w:p w:rsidR="004538C0" w:rsidRDefault="004538C0" w:rsidP="001401F5">
      <w:pPr>
        <w:pStyle w:val="ECHRPara"/>
        <w:ind w:firstLine="0"/>
        <w:rPr>
          <w:szCs w:val="24"/>
          <w:lang w:val="uk-UA"/>
        </w:rPr>
      </w:pPr>
    </w:p>
    <w:p w:rsidR="004538C0" w:rsidRDefault="004538C0" w:rsidP="001401F5">
      <w:pPr>
        <w:pStyle w:val="ECHRPara"/>
        <w:ind w:firstLine="0"/>
        <w:rPr>
          <w:szCs w:val="24"/>
          <w:lang w:val="uk-UA"/>
        </w:rPr>
      </w:pPr>
    </w:p>
    <w:sectPr w:rsidR="004538C0" w:rsidSect="00A66FB4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06023"/>
    <w:rsid w:val="00006C74"/>
    <w:rsid w:val="00060514"/>
    <w:rsid w:val="00064074"/>
    <w:rsid w:val="000657C2"/>
    <w:rsid w:val="00075B08"/>
    <w:rsid w:val="00082BC3"/>
    <w:rsid w:val="000A2990"/>
    <w:rsid w:val="000C017B"/>
    <w:rsid w:val="000C5AFB"/>
    <w:rsid w:val="000E2276"/>
    <w:rsid w:val="000E3CD4"/>
    <w:rsid w:val="000E4EC7"/>
    <w:rsid w:val="000F3F9B"/>
    <w:rsid w:val="001401F5"/>
    <w:rsid w:val="001411DC"/>
    <w:rsid w:val="00141CD0"/>
    <w:rsid w:val="00146DF8"/>
    <w:rsid w:val="001509C6"/>
    <w:rsid w:val="00154570"/>
    <w:rsid w:val="00171F3D"/>
    <w:rsid w:val="0017441A"/>
    <w:rsid w:val="0017453C"/>
    <w:rsid w:val="00183554"/>
    <w:rsid w:val="00184426"/>
    <w:rsid w:val="00185D12"/>
    <w:rsid w:val="001A3E6B"/>
    <w:rsid w:val="001A4F1A"/>
    <w:rsid w:val="001B6DE3"/>
    <w:rsid w:val="001C4BFD"/>
    <w:rsid w:val="001F0E97"/>
    <w:rsid w:val="00206023"/>
    <w:rsid w:val="00233A34"/>
    <w:rsid w:val="00243EAE"/>
    <w:rsid w:val="00251D85"/>
    <w:rsid w:val="00281348"/>
    <w:rsid w:val="00297601"/>
    <w:rsid w:val="002A0FB5"/>
    <w:rsid w:val="002B5A95"/>
    <w:rsid w:val="002C478D"/>
    <w:rsid w:val="002E29F0"/>
    <w:rsid w:val="002E5597"/>
    <w:rsid w:val="002F0ADB"/>
    <w:rsid w:val="00304FAC"/>
    <w:rsid w:val="00326E30"/>
    <w:rsid w:val="003453E8"/>
    <w:rsid w:val="0035148B"/>
    <w:rsid w:val="003528CC"/>
    <w:rsid w:val="00384BC7"/>
    <w:rsid w:val="003A1F56"/>
    <w:rsid w:val="003C5CBE"/>
    <w:rsid w:val="00412CA8"/>
    <w:rsid w:val="00426373"/>
    <w:rsid w:val="00426AEB"/>
    <w:rsid w:val="00430514"/>
    <w:rsid w:val="00435F27"/>
    <w:rsid w:val="004538C0"/>
    <w:rsid w:val="00464511"/>
    <w:rsid w:val="004D7948"/>
    <w:rsid w:val="004E1177"/>
    <w:rsid w:val="00542E19"/>
    <w:rsid w:val="00546FAB"/>
    <w:rsid w:val="00555D18"/>
    <w:rsid w:val="00586713"/>
    <w:rsid w:val="00593DB0"/>
    <w:rsid w:val="005B1F35"/>
    <w:rsid w:val="005C315E"/>
    <w:rsid w:val="005C6AD5"/>
    <w:rsid w:val="00612F6F"/>
    <w:rsid w:val="00617000"/>
    <w:rsid w:val="0062191E"/>
    <w:rsid w:val="00643B06"/>
    <w:rsid w:val="006536E8"/>
    <w:rsid w:val="006812F7"/>
    <w:rsid w:val="00693D22"/>
    <w:rsid w:val="006C203D"/>
    <w:rsid w:val="007035E8"/>
    <w:rsid w:val="00736579"/>
    <w:rsid w:val="0075303C"/>
    <w:rsid w:val="00794B09"/>
    <w:rsid w:val="007C1305"/>
    <w:rsid w:val="007C4118"/>
    <w:rsid w:val="00803720"/>
    <w:rsid w:val="0080775B"/>
    <w:rsid w:val="00823D4E"/>
    <w:rsid w:val="0082602C"/>
    <w:rsid w:val="00852267"/>
    <w:rsid w:val="00863D6F"/>
    <w:rsid w:val="00873459"/>
    <w:rsid w:val="00886C52"/>
    <w:rsid w:val="008C38D9"/>
    <w:rsid w:val="008E7535"/>
    <w:rsid w:val="008F6A22"/>
    <w:rsid w:val="008F75F6"/>
    <w:rsid w:val="00900D91"/>
    <w:rsid w:val="009046C0"/>
    <w:rsid w:val="009072A1"/>
    <w:rsid w:val="0093549F"/>
    <w:rsid w:val="0095014D"/>
    <w:rsid w:val="009569C8"/>
    <w:rsid w:val="009603AB"/>
    <w:rsid w:val="00967C91"/>
    <w:rsid w:val="009773F1"/>
    <w:rsid w:val="009B2FC0"/>
    <w:rsid w:val="009B38F9"/>
    <w:rsid w:val="009B3BE0"/>
    <w:rsid w:val="009C1908"/>
    <w:rsid w:val="009C79EC"/>
    <w:rsid w:val="009D1C38"/>
    <w:rsid w:val="009F24C1"/>
    <w:rsid w:val="009F5F59"/>
    <w:rsid w:val="00A0002E"/>
    <w:rsid w:val="00A1175F"/>
    <w:rsid w:val="00A169C4"/>
    <w:rsid w:val="00A22CC2"/>
    <w:rsid w:val="00A467F7"/>
    <w:rsid w:val="00A54746"/>
    <w:rsid w:val="00A66FB4"/>
    <w:rsid w:val="00A701A6"/>
    <w:rsid w:val="00A85DF3"/>
    <w:rsid w:val="00AA2311"/>
    <w:rsid w:val="00AA519B"/>
    <w:rsid w:val="00AB219D"/>
    <w:rsid w:val="00AB6688"/>
    <w:rsid w:val="00AD55AA"/>
    <w:rsid w:val="00AE0419"/>
    <w:rsid w:val="00AE45BF"/>
    <w:rsid w:val="00B07847"/>
    <w:rsid w:val="00B21333"/>
    <w:rsid w:val="00B30B9E"/>
    <w:rsid w:val="00B35189"/>
    <w:rsid w:val="00B9304B"/>
    <w:rsid w:val="00BA750F"/>
    <w:rsid w:val="00BD3E6C"/>
    <w:rsid w:val="00BF4FEC"/>
    <w:rsid w:val="00C20821"/>
    <w:rsid w:val="00C53427"/>
    <w:rsid w:val="00C542DC"/>
    <w:rsid w:val="00CA4B71"/>
    <w:rsid w:val="00CC4EF3"/>
    <w:rsid w:val="00CC4F02"/>
    <w:rsid w:val="00CD19CC"/>
    <w:rsid w:val="00CE0789"/>
    <w:rsid w:val="00D03DA7"/>
    <w:rsid w:val="00D067DA"/>
    <w:rsid w:val="00D07A5A"/>
    <w:rsid w:val="00D1043C"/>
    <w:rsid w:val="00D163F2"/>
    <w:rsid w:val="00D23900"/>
    <w:rsid w:val="00D24D08"/>
    <w:rsid w:val="00D31491"/>
    <w:rsid w:val="00D410F4"/>
    <w:rsid w:val="00D465E4"/>
    <w:rsid w:val="00D60301"/>
    <w:rsid w:val="00DB4E04"/>
    <w:rsid w:val="00DC42B0"/>
    <w:rsid w:val="00DE0A49"/>
    <w:rsid w:val="00DE23E1"/>
    <w:rsid w:val="00DF2681"/>
    <w:rsid w:val="00E17532"/>
    <w:rsid w:val="00E27478"/>
    <w:rsid w:val="00E67907"/>
    <w:rsid w:val="00E73B6F"/>
    <w:rsid w:val="00E9709F"/>
    <w:rsid w:val="00ED02DC"/>
    <w:rsid w:val="00EE0CC7"/>
    <w:rsid w:val="00EE129C"/>
    <w:rsid w:val="00EF0A5B"/>
    <w:rsid w:val="00F00BD4"/>
    <w:rsid w:val="00F11954"/>
    <w:rsid w:val="00F3287D"/>
    <w:rsid w:val="00F50170"/>
    <w:rsid w:val="00F86027"/>
    <w:rsid w:val="00FA7552"/>
    <w:rsid w:val="00FC2831"/>
    <w:rsid w:val="00FC4581"/>
    <w:rsid w:val="00FF0952"/>
    <w:rsid w:val="00FF0E9A"/>
    <w:rsid w:val="00FF3816"/>
    <w:rsid w:val="00FF48C2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HRPara">
    <w:name w:val="ECHR_Para"/>
    <w:aliases w:val="Ju_Para,Para,Left,First line:  0 cm,First line:  0 cm Знак,Ju_Para Знак,Left Знак Знак,First line:  0 cm Знак Знак Знак,Left Знак,N_Para"/>
    <w:basedOn w:val="a"/>
    <w:link w:val="ECHRParaChar"/>
    <w:uiPriority w:val="12"/>
    <w:qFormat/>
    <w:rsid w:val="00206023"/>
    <w:pPr>
      <w:ind w:firstLine="284"/>
      <w:jc w:val="both"/>
    </w:pPr>
    <w:rPr>
      <w:rFonts w:eastAsia="MS Mincho"/>
      <w:szCs w:val="20"/>
      <w:lang w:val="ru-RU" w:eastAsia="ru-RU" w:bidi="ar-SA"/>
    </w:rPr>
  </w:style>
  <w:style w:type="character" w:customStyle="1" w:styleId="ECHRParaChar">
    <w:name w:val="ECHR_Para Char"/>
    <w:aliases w:val="Ju_Para Char"/>
    <w:link w:val="ECHRPara"/>
    <w:uiPriority w:val="12"/>
    <w:locked/>
    <w:rsid w:val="00206023"/>
    <w:rPr>
      <w:rFonts w:ascii="Times New Roman" w:eastAsia="MS Mincho" w:hAnsi="Times New Roman" w:cs="Times New Roman"/>
      <w:sz w:val="24"/>
      <w:szCs w:val="20"/>
      <w:lang w:val="ru-RU" w:eastAsia="ru-RU"/>
    </w:rPr>
  </w:style>
  <w:style w:type="paragraph" w:customStyle="1" w:styleId="JuList">
    <w:name w:val="Ju_List"/>
    <w:basedOn w:val="a"/>
    <w:link w:val="JuListChar"/>
    <w:uiPriority w:val="28"/>
    <w:qFormat/>
    <w:rsid w:val="00206023"/>
    <w:pPr>
      <w:ind w:left="340" w:hanging="340"/>
      <w:jc w:val="both"/>
    </w:pPr>
    <w:rPr>
      <w:rFonts w:ascii="Calibri" w:eastAsia="Times New Roman" w:hAnsi="Calibri"/>
      <w:szCs w:val="22"/>
      <w:lang w:bidi="ar-SA"/>
    </w:rPr>
  </w:style>
  <w:style w:type="character" w:customStyle="1" w:styleId="JuListChar">
    <w:name w:val="Ju_List Char"/>
    <w:link w:val="JuList"/>
    <w:uiPriority w:val="28"/>
    <w:rsid w:val="00206023"/>
    <w:rPr>
      <w:rFonts w:ascii="Calibri" w:eastAsia="Times New Roman" w:hAnsi="Calibri" w:cs="Times New Roman"/>
      <w:sz w:val="24"/>
      <w:lang w:val="en-US"/>
    </w:rPr>
  </w:style>
  <w:style w:type="character" w:customStyle="1" w:styleId="sb8d990e2">
    <w:name w:val="sb8d990e2"/>
    <w:basedOn w:val="a0"/>
    <w:rsid w:val="00206023"/>
  </w:style>
  <w:style w:type="paragraph" w:styleId="a3">
    <w:name w:val="No Spacing"/>
    <w:basedOn w:val="a"/>
    <w:link w:val="a4"/>
    <w:qFormat/>
    <w:rsid w:val="00206023"/>
    <w:pPr>
      <w:jc w:val="both"/>
    </w:pPr>
    <w:rPr>
      <w:rFonts w:ascii="Calibri" w:eastAsia="Times New Roman" w:hAnsi="Calibri"/>
      <w:sz w:val="22"/>
      <w:szCs w:val="22"/>
      <w:lang w:bidi="ar-SA"/>
    </w:rPr>
  </w:style>
  <w:style w:type="character" w:customStyle="1" w:styleId="a4">
    <w:name w:val="Без интервала Знак"/>
    <w:basedOn w:val="a0"/>
    <w:link w:val="a3"/>
    <w:rsid w:val="00206023"/>
    <w:rPr>
      <w:rFonts w:ascii="Calibri" w:eastAsia="Times New Roman" w:hAnsi="Calibri" w:cs="Times New Roman"/>
      <w:lang w:val="en-US"/>
    </w:rPr>
  </w:style>
  <w:style w:type="character" w:customStyle="1" w:styleId="JuParaCar">
    <w:name w:val="Ju_Para Car"/>
    <w:uiPriority w:val="12"/>
    <w:rsid w:val="00DB4E04"/>
    <w:rPr>
      <w:rFonts w:eastAsiaTheme="minorEastAsia"/>
      <w:sz w:val="24"/>
      <w:lang w:val="en-US"/>
    </w:rPr>
  </w:style>
  <w:style w:type="character" w:styleId="a5">
    <w:name w:val="Book Title"/>
    <w:uiPriority w:val="99"/>
    <w:qFormat/>
    <w:rsid w:val="0095014D"/>
    <w:rPr>
      <w:i/>
      <w:i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AE04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419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4AF47-93AB-4F7B-814E-21E21D72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Ящукевич (RMJ-HP247V2 - t.yaschyukevych)</dc:creator>
  <cp:lastModifiedBy>Leonid</cp:lastModifiedBy>
  <cp:revision>3</cp:revision>
  <cp:lastPrinted>2019-08-19T11:39:00Z</cp:lastPrinted>
  <dcterms:created xsi:type="dcterms:W3CDTF">2020-01-16T09:49:00Z</dcterms:created>
  <dcterms:modified xsi:type="dcterms:W3CDTF">2020-01-16T13:14:00Z</dcterms:modified>
</cp:coreProperties>
</file>