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7" w:rsidRPr="006140AC" w:rsidRDefault="000A2157" w:rsidP="006140A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1"/>
          <w:szCs w:val="31"/>
        </w:rPr>
      </w:pPr>
      <w:r w:rsidRPr="006140AC">
        <w:rPr>
          <w:rFonts w:ascii="Times New Roman" w:hAnsi="Times New Roman" w:cs="Times New Roman"/>
          <w:b/>
          <w:color w:val="000000"/>
          <w:spacing w:val="-1"/>
          <w:sz w:val="31"/>
          <w:szCs w:val="31"/>
        </w:rPr>
        <w:t>Інформаційний бюлетень</w:t>
      </w:r>
    </w:p>
    <w:p w:rsidR="000A2157" w:rsidRPr="006140AC" w:rsidRDefault="000A2157" w:rsidP="006140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1"/>
          <w:szCs w:val="31"/>
        </w:rPr>
      </w:pPr>
      <w:r w:rsidRPr="006140AC">
        <w:rPr>
          <w:rFonts w:ascii="Times New Roman" w:hAnsi="Times New Roman" w:cs="Times New Roman"/>
          <w:b/>
          <w:color w:val="000000"/>
          <w:spacing w:val="-1"/>
          <w:sz w:val="31"/>
          <w:szCs w:val="31"/>
        </w:rPr>
        <w:t>про складені Національним агентством з питань запобігання корупції протоколи про адміністративні правопорушення та внесені приписи щодо ознак порушень вимог, пов’язаних із запобіганням та врегулюванням конфлікту інтересів,</w:t>
      </w:r>
    </w:p>
    <w:p w:rsidR="000A2157" w:rsidRPr="006140AC" w:rsidRDefault="000A2157" w:rsidP="006140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31"/>
          <w:szCs w:val="31"/>
        </w:rPr>
      </w:pPr>
      <w:r w:rsidRPr="006140AC">
        <w:rPr>
          <w:rFonts w:ascii="Times New Roman" w:hAnsi="Times New Roman" w:cs="Times New Roman"/>
          <w:b/>
          <w:color w:val="000000"/>
          <w:spacing w:val="-1"/>
          <w:sz w:val="31"/>
          <w:szCs w:val="31"/>
        </w:rPr>
        <w:t xml:space="preserve">протягом </w:t>
      </w:r>
      <w:r w:rsidRPr="006140AC">
        <w:rPr>
          <w:rFonts w:ascii="Times New Roman" w:hAnsi="Times New Roman" w:cs="Times New Roman"/>
          <w:b/>
          <w:color w:val="000000"/>
          <w:spacing w:val="-1"/>
          <w:sz w:val="31"/>
          <w:szCs w:val="31"/>
          <w:lang w:val="en-US"/>
        </w:rPr>
        <w:t>IV</w:t>
      </w:r>
      <w:r w:rsidRPr="006140AC">
        <w:rPr>
          <w:rFonts w:ascii="Times New Roman" w:hAnsi="Times New Roman" w:cs="Times New Roman"/>
          <w:b/>
          <w:color w:val="000000"/>
          <w:spacing w:val="-1"/>
          <w:sz w:val="31"/>
          <w:szCs w:val="31"/>
        </w:rPr>
        <w:t xml:space="preserve"> кварталу 2019 року</w:t>
      </w:r>
    </w:p>
    <w:p w:rsidR="000A2157" w:rsidRPr="00750623" w:rsidRDefault="000A2157" w:rsidP="000A2157">
      <w:pPr>
        <w:pStyle w:val="1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750623">
        <w:rPr>
          <w:sz w:val="28"/>
          <w:szCs w:val="28"/>
        </w:rPr>
        <w:tab/>
      </w:r>
    </w:p>
    <w:p w:rsidR="000A2157" w:rsidRPr="00C232E0" w:rsidRDefault="000A2157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На виконання підпункту 2 пункту 4 розділу III додатка 2 до Антикорупційної програми МВС на 2019 рік, затвердженої наказом МВС         від 22 лютого 2019 р. № 121 (зі змінами), Управлінням запобігання корупції та проведення люстрації МВС проведено аналіз інформації щодо складених Національним агентством з питань запобігання корупції (далі – НАЗК) протоколів про адміністративні правопорушення та внесених приписів щодо ознак порушень вимог, пов’язаних із запобіганням та врегулюванням конфлікту інтересів протягом IV кварталу 2019 року.</w:t>
      </w:r>
    </w:p>
    <w:p w:rsidR="000A2157" w:rsidRPr="00C232E0" w:rsidRDefault="000A2157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Відповідно до пункту 1 частини 1 статті 28 Закону України «Про запобігання корупції» (далі – Закон) особи, уповноважені на виконання функцій держави або місцевого самоврядування та особи, які для цілей цього Закону прирівнюються до осіб, уповноважених на виконання функцій держави або місцевого самоврядування зобов’язані</w:t>
      </w:r>
      <w:bookmarkStart w:id="0" w:name="n361"/>
      <w:bookmarkEnd w:id="0"/>
      <w:r w:rsidRPr="00C232E0">
        <w:rPr>
          <w:rFonts w:ascii="Verdana" w:hAnsi="Verdana"/>
        </w:rPr>
        <w:t xml:space="preserve"> вживати заходів щодо недопущення виникнення реального, потенційного конфлікту інтересів. Проте існує ряд випадків, коли особа не знала або не вбачала в своїх діях конфлікту інтересів. </w:t>
      </w:r>
    </w:p>
    <w:p w:rsidR="000A2157" w:rsidRPr="00C232E0" w:rsidRDefault="000A2157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З метою практичного розуміння поняття «конфлікт інтересів», формування у працівників МВС </w:t>
      </w:r>
      <w:r w:rsidR="007C3B9B" w:rsidRPr="00C232E0">
        <w:rPr>
          <w:rFonts w:ascii="Verdana" w:hAnsi="Verdana"/>
        </w:rPr>
        <w:t xml:space="preserve">навичок </w:t>
      </w:r>
      <w:r w:rsidRPr="00C232E0">
        <w:rPr>
          <w:rFonts w:ascii="Verdana" w:hAnsi="Verdana"/>
        </w:rPr>
        <w:t xml:space="preserve">з питань дотримання правил запобігання та врегулювання конфлікту інтересів наводимо приклади ситуацій, розміщених на офіційному </w:t>
      </w:r>
      <w:proofErr w:type="spellStart"/>
      <w:r w:rsidRPr="00C232E0">
        <w:rPr>
          <w:rFonts w:ascii="Verdana" w:hAnsi="Verdana"/>
        </w:rPr>
        <w:t>вебсайті</w:t>
      </w:r>
      <w:proofErr w:type="spellEnd"/>
      <w:r w:rsidRPr="00C232E0">
        <w:rPr>
          <w:rFonts w:ascii="Verdana" w:hAnsi="Verdana"/>
        </w:rPr>
        <w:t xml:space="preserve"> НАЗК.</w:t>
      </w:r>
    </w:p>
    <w:p w:rsidR="00FE6EA9" w:rsidRPr="00C232E0" w:rsidRDefault="00953D24" w:rsidP="00C232E0">
      <w:pPr>
        <w:rPr>
          <w:rFonts w:ascii="Verdana" w:hAnsi="Verdana"/>
        </w:rPr>
      </w:pPr>
      <w:r w:rsidRPr="00C232E0">
        <w:rPr>
          <w:rFonts w:ascii="Verdana" w:hAnsi="Verdana"/>
        </w:rPr>
        <w:t>1.</w:t>
      </w:r>
      <w:r w:rsidR="00B95482" w:rsidRPr="00C232E0">
        <w:rPr>
          <w:rFonts w:ascii="Verdana" w:hAnsi="Verdana"/>
        </w:rPr>
        <w:t xml:space="preserve"> </w:t>
      </w:r>
      <w:r w:rsidRPr="00C232E0">
        <w:rPr>
          <w:rFonts w:ascii="Verdana" w:hAnsi="Verdana"/>
        </w:rPr>
        <w:t>НАЗК</w:t>
      </w:r>
      <w:r w:rsidR="00FE6EA9" w:rsidRPr="00C232E0">
        <w:rPr>
          <w:rFonts w:ascii="Verdana" w:hAnsi="Verdana"/>
        </w:rPr>
        <w:t xml:space="preserve"> внесло припис про порушення вимог законодавства щодо етичної поведінки, запобігання та врегулювання конфлікту інтересів, інших порушень закону директорові державного підприємства «Хотинське лісове господарство» стосовно його заступника.</w:t>
      </w:r>
    </w:p>
    <w:p w:rsidR="00FE6EA9" w:rsidRPr="00C232E0" w:rsidRDefault="00FE6EA9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Встановлено, що у період виконання обов’язків директора цього підприємства заступник директора з виробництва та будівництва лісових доріг </w:t>
      </w:r>
      <w:proofErr w:type="spellStart"/>
      <w:r w:rsidRPr="00C232E0">
        <w:rPr>
          <w:rFonts w:ascii="Verdana" w:hAnsi="Verdana"/>
        </w:rPr>
        <w:t>ДП</w:t>
      </w:r>
      <w:proofErr w:type="spellEnd"/>
      <w:r w:rsidRPr="00C232E0">
        <w:rPr>
          <w:rFonts w:ascii="Verdana" w:hAnsi="Verdana"/>
        </w:rPr>
        <w:t xml:space="preserve"> «Хотинський лісгосп» не виконав вимоги пункту 2 частини першої статті 28 Закону та не повідомив про наявність у нього потенційного конфлікту інтересів, зумовленого наявністю родинних відносин з його підлеглим (рідним братом), Державне агентство лісових ресурсів України.</w:t>
      </w:r>
    </w:p>
    <w:p w:rsidR="00FE6EA9" w:rsidRPr="00C232E0" w:rsidRDefault="00FE6EA9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Відповідно до припису </w:t>
      </w:r>
      <w:r w:rsidR="000A2157" w:rsidRPr="00C232E0">
        <w:rPr>
          <w:rFonts w:ascii="Verdana" w:hAnsi="Verdana"/>
        </w:rPr>
        <w:t xml:space="preserve">НАЗК </w:t>
      </w:r>
      <w:r w:rsidRPr="00C232E0">
        <w:rPr>
          <w:rFonts w:ascii="Verdana" w:hAnsi="Verdana"/>
        </w:rPr>
        <w:t xml:space="preserve">вимагає провести службове розслідування з метою виявлення причин та умов, які призвели до порушення </w:t>
      </w:r>
      <w:r w:rsidR="00953D24" w:rsidRPr="00C232E0">
        <w:rPr>
          <w:rFonts w:ascii="Verdana" w:hAnsi="Verdana"/>
        </w:rPr>
        <w:t xml:space="preserve">заступником директора </w:t>
      </w:r>
      <w:r w:rsidRPr="00C232E0">
        <w:rPr>
          <w:rFonts w:ascii="Verdana" w:hAnsi="Verdana"/>
        </w:rPr>
        <w:t>вимог статті 28 Закону та розглянути питання щодо притягнення винних осіб до встановленої законом відповідальності.</w:t>
      </w:r>
    </w:p>
    <w:p w:rsidR="00FE6EA9" w:rsidRPr="00C232E0" w:rsidRDefault="00953D24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2. </w:t>
      </w:r>
      <w:r w:rsidR="000A2157" w:rsidRPr="00C232E0">
        <w:rPr>
          <w:rFonts w:ascii="Verdana" w:hAnsi="Verdana"/>
        </w:rPr>
        <w:t xml:space="preserve">НАЗК </w:t>
      </w:r>
      <w:r w:rsidR="00FE6EA9" w:rsidRPr="00C232E0">
        <w:rPr>
          <w:rFonts w:ascii="Verdana" w:hAnsi="Verdana"/>
        </w:rPr>
        <w:t>внесло припис про порушення вимог законодавства щодо етичної поведінки, запобігання та врегулювання конфлікту інтересів, інших порушень закону начальнику Головного управління статистики у Запорізькій області стосовно її підлеглої.</w:t>
      </w:r>
    </w:p>
    <w:p w:rsidR="00FE6EA9" w:rsidRPr="00C232E0" w:rsidRDefault="00FE6EA9" w:rsidP="00C232E0">
      <w:pPr>
        <w:rPr>
          <w:rFonts w:ascii="Verdana" w:hAnsi="Verdana"/>
        </w:rPr>
      </w:pPr>
      <w:r w:rsidRPr="00C232E0">
        <w:rPr>
          <w:rFonts w:ascii="Verdana" w:hAnsi="Verdana"/>
        </w:rPr>
        <w:lastRenderedPageBreak/>
        <w:t>Встановлено, що провідний спеціаліст-економіст відділу аналізу даних соціальної статистики та статистики праці управління аналізу даних демографічної та соціальної статистики Головного управління статистики у Запорізькій області не передала належні їй корпоративні права в управління іншій особі протягом 30 днів з моменту призначення на посаду.</w:t>
      </w:r>
    </w:p>
    <w:p w:rsidR="00FE6EA9" w:rsidRPr="00C232E0" w:rsidRDefault="00953D24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НАЗК</w:t>
      </w:r>
      <w:r w:rsidR="00FE6EA9" w:rsidRPr="00C232E0">
        <w:rPr>
          <w:rFonts w:ascii="Verdana" w:hAnsi="Verdana"/>
        </w:rPr>
        <w:t xml:space="preserve"> вимагає провести службове розслідування для виявлення причин та умов, що призвели до невиконання </w:t>
      </w:r>
      <w:r w:rsidRPr="00C232E0">
        <w:rPr>
          <w:rFonts w:ascii="Verdana" w:hAnsi="Verdana"/>
        </w:rPr>
        <w:t xml:space="preserve">провідним спеціалістом </w:t>
      </w:r>
      <w:r w:rsidR="00FE6EA9" w:rsidRPr="00C232E0">
        <w:rPr>
          <w:rFonts w:ascii="Verdana" w:hAnsi="Verdana"/>
        </w:rPr>
        <w:t>вимог частини першої статті 36 Закону щодо запобігання конфлікту інтересів у зв’язку з наявністю в особи підприємств чи корпоративних прав, а також розглянути питання щодо притягнення винних осіб до встановленої законом відповідальності.</w:t>
      </w:r>
    </w:p>
    <w:p w:rsidR="00FE6EA9" w:rsidRPr="00C232E0" w:rsidRDefault="000933CB" w:rsidP="00C232E0">
      <w:pPr>
        <w:rPr>
          <w:rFonts w:ascii="Verdana" w:hAnsi="Verdana"/>
        </w:rPr>
      </w:pPr>
      <w:r w:rsidRPr="00C232E0">
        <w:rPr>
          <w:rFonts w:ascii="Verdana" w:hAnsi="Verdana"/>
        </w:rPr>
        <w:t>3.</w:t>
      </w:r>
      <w:r w:rsidR="00682EA5" w:rsidRPr="00C232E0">
        <w:rPr>
          <w:rFonts w:ascii="Verdana" w:hAnsi="Verdana"/>
        </w:rPr>
        <w:t xml:space="preserve"> С</w:t>
      </w:r>
      <w:r w:rsidR="00FE6EA9" w:rsidRPr="00C232E0">
        <w:rPr>
          <w:rFonts w:ascii="Verdana" w:hAnsi="Verdana"/>
        </w:rPr>
        <w:t xml:space="preserve">кладено </w:t>
      </w:r>
      <w:r w:rsidR="00682EA5" w:rsidRPr="00C232E0">
        <w:rPr>
          <w:rFonts w:ascii="Verdana" w:hAnsi="Verdana"/>
        </w:rPr>
        <w:t xml:space="preserve">протокол </w:t>
      </w:r>
      <w:r w:rsidR="00FE6EA9" w:rsidRPr="00C232E0">
        <w:rPr>
          <w:rFonts w:ascii="Verdana" w:hAnsi="Verdana"/>
        </w:rPr>
        <w:t xml:space="preserve">стосовно депутата </w:t>
      </w:r>
      <w:proofErr w:type="spellStart"/>
      <w:r w:rsidR="00FE6EA9" w:rsidRPr="00C232E0">
        <w:rPr>
          <w:rFonts w:ascii="Verdana" w:hAnsi="Verdana"/>
        </w:rPr>
        <w:t>Сотниківської</w:t>
      </w:r>
      <w:proofErr w:type="spellEnd"/>
      <w:r w:rsidR="00FE6EA9" w:rsidRPr="00C232E0">
        <w:rPr>
          <w:rFonts w:ascii="Verdana" w:hAnsi="Verdana"/>
        </w:rPr>
        <w:t xml:space="preserve"> сільської ради </w:t>
      </w:r>
      <w:proofErr w:type="spellStart"/>
      <w:r w:rsidR="00FE6EA9" w:rsidRPr="00C232E0">
        <w:rPr>
          <w:rFonts w:ascii="Verdana" w:hAnsi="Verdana"/>
        </w:rPr>
        <w:t>Яготинського</w:t>
      </w:r>
      <w:proofErr w:type="spellEnd"/>
      <w:r w:rsidR="00FE6EA9" w:rsidRPr="00C232E0">
        <w:rPr>
          <w:rFonts w:ascii="Verdana" w:hAnsi="Verdana"/>
        </w:rPr>
        <w:t xml:space="preserve"> району Київської області, яка не повідомила про наявність у неї реального конфлікту інтересів та вчинила дії в умовах реального конфлікту інтересів.</w:t>
      </w:r>
    </w:p>
    <w:p w:rsidR="00FE6EA9" w:rsidRPr="00C232E0" w:rsidRDefault="00FE6EA9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Встановлено, що під час розгляду, підготовки та прийняття </w:t>
      </w:r>
      <w:proofErr w:type="spellStart"/>
      <w:r w:rsidRPr="00C232E0">
        <w:rPr>
          <w:rFonts w:ascii="Verdana" w:hAnsi="Verdana"/>
        </w:rPr>
        <w:t>Сотниківською</w:t>
      </w:r>
      <w:proofErr w:type="spellEnd"/>
      <w:r w:rsidRPr="00C232E0">
        <w:rPr>
          <w:rFonts w:ascii="Verdana" w:hAnsi="Verdana"/>
        </w:rPr>
        <w:t xml:space="preserve"> сільською радою рішення «Про надання дозволу громадянам України на розробку </w:t>
      </w:r>
      <w:proofErr w:type="spellStart"/>
      <w:r w:rsidRPr="00C232E0">
        <w:rPr>
          <w:rFonts w:ascii="Verdana" w:hAnsi="Verdana"/>
        </w:rPr>
        <w:t>проєкту</w:t>
      </w:r>
      <w:proofErr w:type="spellEnd"/>
      <w:r w:rsidRPr="00C232E0">
        <w:rPr>
          <w:rFonts w:ascii="Verdana" w:hAnsi="Verdana"/>
        </w:rPr>
        <w:t xml:space="preserve"> землеустрою щодо відведення земельних ділянок для будівництва та обслуговування житлового будинку, господарських будівель та споруд для передачі у приватну власність» у депутата був наявний приватний майновий інтерес, зумовлений бажанням отримати для себе дозвіл на розроблення </w:t>
      </w:r>
      <w:proofErr w:type="spellStart"/>
      <w:r w:rsidRPr="00C232E0">
        <w:rPr>
          <w:rFonts w:ascii="Verdana" w:hAnsi="Verdana"/>
        </w:rPr>
        <w:t>проєкту</w:t>
      </w:r>
      <w:proofErr w:type="spellEnd"/>
      <w:r w:rsidRPr="00C232E0">
        <w:rPr>
          <w:rFonts w:ascii="Verdana" w:hAnsi="Verdana"/>
        </w:rPr>
        <w:t xml:space="preserve"> із землеустрою щодо земельної ділянки для подальшого отримання у приватну власність цієї земельної ділянки, що розташована на території села </w:t>
      </w:r>
      <w:proofErr w:type="spellStart"/>
      <w:r w:rsidRPr="00C232E0">
        <w:rPr>
          <w:rFonts w:ascii="Verdana" w:hAnsi="Verdana"/>
        </w:rPr>
        <w:t>Сотниківка</w:t>
      </w:r>
      <w:proofErr w:type="spellEnd"/>
      <w:r w:rsidRPr="00C232E0">
        <w:rPr>
          <w:rFonts w:ascii="Verdana" w:hAnsi="Verdana"/>
        </w:rPr>
        <w:t>, площею 0,25 га.</w:t>
      </w:r>
    </w:p>
    <w:p w:rsidR="00FE6EA9" w:rsidRPr="00C232E0" w:rsidRDefault="00FE6EA9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Проте депутат не повідомила про наявність у неї реального конфлікту інтересів та взяла участь у голосуванні.</w:t>
      </w:r>
    </w:p>
    <w:p w:rsidR="009B452E" w:rsidRPr="00C232E0" w:rsidRDefault="00CF4177" w:rsidP="00C232E0">
      <w:pPr>
        <w:rPr>
          <w:rFonts w:ascii="Verdana" w:hAnsi="Verdana"/>
        </w:rPr>
      </w:pPr>
      <w:r w:rsidRPr="00C232E0">
        <w:rPr>
          <w:rFonts w:ascii="Verdana" w:hAnsi="Verdana"/>
        </w:rPr>
        <w:t>4.</w:t>
      </w:r>
      <w:r w:rsidR="000A2157" w:rsidRPr="00C232E0">
        <w:rPr>
          <w:rFonts w:ascii="Verdana" w:hAnsi="Verdana"/>
        </w:rPr>
        <w:t xml:space="preserve"> </w:t>
      </w:r>
      <w:r w:rsidR="009B452E" w:rsidRPr="00C232E0">
        <w:rPr>
          <w:rFonts w:ascii="Verdana" w:hAnsi="Verdana"/>
        </w:rPr>
        <w:t xml:space="preserve">Складено 2 протоколи стосовно депутата </w:t>
      </w:r>
      <w:proofErr w:type="spellStart"/>
      <w:r w:rsidR="009B452E" w:rsidRPr="00C232E0">
        <w:rPr>
          <w:rFonts w:ascii="Verdana" w:hAnsi="Verdana"/>
        </w:rPr>
        <w:t>Лизогубовослобідської</w:t>
      </w:r>
      <w:proofErr w:type="spellEnd"/>
      <w:r w:rsidR="009B452E" w:rsidRPr="00C232E0">
        <w:rPr>
          <w:rFonts w:ascii="Verdana" w:hAnsi="Verdana"/>
        </w:rPr>
        <w:t xml:space="preserve"> сільської ради </w:t>
      </w:r>
      <w:proofErr w:type="spellStart"/>
      <w:r w:rsidR="009B452E" w:rsidRPr="00C232E0">
        <w:rPr>
          <w:rFonts w:ascii="Verdana" w:hAnsi="Verdana"/>
        </w:rPr>
        <w:t>Згурівського</w:t>
      </w:r>
      <w:proofErr w:type="spellEnd"/>
      <w:r w:rsidR="009B452E" w:rsidRPr="00C232E0">
        <w:rPr>
          <w:rFonts w:ascii="Verdana" w:hAnsi="Verdana"/>
        </w:rPr>
        <w:t xml:space="preserve"> району Київської області, яка під час розгляду на засіданні зазначеної сільської ради проекту рішення про передачу їй у власність земельної ділянки для ведення особистого селянського господарства орієнтовною площею 1,00 га не повідомила про наявність у неї реального конфлікту інтересів та взяла участь у голосуванні стосовно зазначеного проекту рішення.</w:t>
      </w:r>
    </w:p>
    <w:p w:rsidR="009B452E" w:rsidRPr="00C232E0" w:rsidRDefault="00CF4177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5. </w:t>
      </w:r>
      <w:r w:rsidR="009B452E" w:rsidRPr="00C232E0">
        <w:rPr>
          <w:rFonts w:ascii="Verdana" w:hAnsi="Verdana"/>
        </w:rPr>
        <w:t xml:space="preserve">Складено 2 протоколи стосовно директора </w:t>
      </w:r>
      <w:proofErr w:type="spellStart"/>
      <w:r w:rsidR="009B452E" w:rsidRPr="00C232E0">
        <w:rPr>
          <w:rFonts w:ascii="Verdana" w:hAnsi="Verdana"/>
        </w:rPr>
        <w:t>Бериславської</w:t>
      </w:r>
      <w:proofErr w:type="spellEnd"/>
      <w:r w:rsidR="009B452E" w:rsidRPr="00C232E0">
        <w:rPr>
          <w:rFonts w:ascii="Verdana" w:hAnsi="Verdana"/>
        </w:rPr>
        <w:t xml:space="preserve"> загальноосвітньої школи I-III ступенів № 3 </w:t>
      </w:r>
      <w:proofErr w:type="spellStart"/>
      <w:r w:rsidR="009B452E" w:rsidRPr="00C232E0">
        <w:rPr>
          <w:rFonts w:ascii="Verdana" w:hAnsi="Verdana"/>
        </w:rPr>
        <w:t>Бериславської</w:t>
      </w:r>
      <w:proofErr w:type="spellEnd"/>
      <w:r w:rsidR="009B452E" w:rsidRPr="00C232E0">
        <w:rPr>
          <w:rFonts w:ascii="Verdana" w:hAnsi="Verdana"/>
        </w:rPr>
        <w:t xml:space="preserve"> районної ради Херсонської області, яка не повідомила про наявність у неї реального конфлікту інтересів, що виник у зв’язку з виданням наказу про призначення на посаду у цю ж школу її близької особи – сина, та прийняла рішення в умовах реального конфлікту інтересів, видавши такий наказ.</w:t>
      </w:r>
    </w:p>
    <w:p w:rsidR="004748E1" w:rsidRPr="00C232E0" w:rsidRDefault="00CF4177" w:rsidP="00C232E0">
      <w:pPr>
        <w:rPr>
          <w:rFonts w:ascii="Verdana" w:hAnsi="Verdana"/>
        </w:rPr>
      </w:pPr>
      <w:r w:rsidRPr="00C232E0">
        <w:rPr>
          <w:rFonts w:ascii="Verdana" w:hAnsi="Verdana"/>
        </w:rPr>
        <w:t>6. НАЗК</w:t>
      </w:r>
      <w:r w:rsidR="004748E1" w:rsidRPr="00C232E0">
        <w:rPr>
          <w:rFonts w:ascii="Verdana" w:hAnsi="Verdana"/>
        </w:rPr>
        <w:t xml:space="preserve"> внесло припис про порушення вимог законодавства щодо етичної поведінки, запобігання та врегулювання конфлікту інтересів, інших порушень закону ректорові Київського національного торговельно-економічного університету стосовно підлеглого директора.</w:t>
      </w:r>
    </w:p>
    <w:p w:rsidR="004748E1" w:rsidRPr="00C232E0" w:rsidRDefault="004748E1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Встановлено, що директор Харківського торговельно-економічного інституту КНТЕУ протягом майже двох років з моменту призначення на посаду не вживала заходів щодо передачі в управління іншим особам належних їй корпоративних прав ТОВ «ЛЕЙК», ТОВ «СІВЕЛІР-АГРО» та ТОВ «МФК-ПЕРСПЕКТИВА». Після </w:t>
      </w:r>
      <w:r w:rsidRPr="00C232E0">
        <w:rPr>
          <w:rFonts w:ascii="Verdana" w:hAnsi="Verdana"/>
        </w:rPr>
        <w:lastRenderedPageBreak/>
        <w:t>призначення на посаду, перебування на якій зумовлює необхідність дотриманн</w:t>
      </w:r>
      <w:r w:rsidR="004F3941" w:rsidRPr="00C232E0">
        <w:rPr>
          <w:rFonts w:ascii="Verdana" w:hAnsi="Verdana"/>
        </w:rPr>
        <w:t>я вимог статті 36 Закону</w:t>
      </w:r>
      <w:r w:rsidRPr="00C232E0">
        <w:rPr>
          <w:rFonts w:ascii="Verdana" w:hAnsi="Verdana"/>
        </w:rPr>
        <w:t>, відведено 30 днів для передачі корпоративних прав в управління іншій особі.</w:t>
      </w:r>
    </w:p>
    <w:p w:rsidR="009B452E" w:rsidRPr="00C232E0" w:rsidRDefault="00A90B09" w:rsidP="00C232E0">
      <w:pPr>
        <w:rPr>
          <w:rFonts w:ascii="Verdana" w:hAnsi="Verdana"/>
        </w:rPr>
      </w:pPr>
      <w:r w:rsidRPr="00C232E0">
        <w:rPr>
          <w:rFonts w:ascii="Verdana" w:hAnsi="Verdana"/>
        </w:rPr>
        <w:t>7</w:t>
      </w:r>
      <w:r w:rsidR="00AE1827" w:rsidRPr="00C232E0">
        <w:rPr>
          <w:rFonts w:ascii="Verdana" w:hAnsi="Verdana"/>
        </w:rPr>
        <w:t xml:space="preserve">. </w:t>
      </w:r>
      <w:r w:rsidR="009B452E" w:rsidRPr="00C232E0">
        <w:rPr>
          <w:rFonts w:ascii="Verdana" w:hAnsi="Verdana"/>
        </w:rPr>
        <w:t>Внесено припис голові Харківської обласної ради стосовно директора обласного комунального закладу «Харківський театр для дітей та юнацтва» (далі – Театр), який не повідомив про наявність у нього потенційного конфлікту інтересів, зумовленого перебуванням у його підпорядкуванні близьких осіб – дружини, сина та дочки.</w:t>
      </w:r>
    </w:p>
    <w:p w:rsidR="009B452E" w:rsidRPr="00C232E0" w:rsidRDefault="000A2157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НАЗК </w:t>
      </w:r>
      <w:r w:rsidR="009B452E" w:rsidRPr="00C232E0">
        <w:rPr>
          <w:rFonts w:ascii="Verdana" w:hAnsi="Verdana"/>
        </w:rPr>
        <w:t xml:space="preserve">вимагає вжити заходів для врегулювання потенційного конфлікту інтересів у директора театру, розглянути питання про проведення службового розслідування для виявлення причин та умов, що призвели до невиконання </w:t>
      </w:r>
      <w:r w:rsidR="009E1733" w:rsidRPr="00C232E0">
        <w:rPr>
          <w:rFonts w:ascii="Verdana" w:hAnsi="Verdana"/>
        </w:rPr>
        <w:t>ним</w:t>
      </w:r>
      <w:r w:rsidR="009B452E" w:rsidRPr="00C232E0">
        <w:rPr>
          <w:rFonts w:ascii="Verdana" w:hAnsi="Verdana"/>
        </w:rPr>
        <w:t xml:space="preserve"> вимог пункту 2 частини першої статті 28 Закону України «Про запобігання корупції» (далі – Закон), та притягнення винних осіб до встановленої законом відповідальності.</w:t>
      </w:r>
    </w:p>
    <w:p w:rsidR="009B452E" w:rsidRPr="00C232E0" w:rsidRDefault="00A90B09" w:rsidP="00C232E0">
      <w:pPr>
        <w:rPr>
          <w:rFonts w:ascii="Verdana" w:hAnsi="Verdana"/>
        </w:rPr>
      </w:pPr>
      <w:r w:rsidRPr="00C232E0">
        <w:rPr>
          <w:rFonts w:ascii="Verdana" w:hAnsi="Verdana"/>
        </w:rPr>
        <w:t>8</w:t>
      </w:r>
      <w:r w:rsidR="009E1733" w:rsidRPr="00C232E0">
        <w:rPr>
          <w:rFonts w:ascii="Verdana" w:hAnsi="Verdana"/>
        </w:rPr>
        <w:t xml:space="preserve">. </w:t>
      </w:r>
      <w:r w:rsidR="009B452E" w:rsidRPr="00C232E0">
        <w:rPr>
          <w:rFonts w:ascii="Verdana" w:hAnsi="Verdana"/>
        </w:rPr>
        <w:t>Внесено припис начальнику Головного управління статистики у Запорізькій області стосовно провідного спеціаліста сектору режимно-секретної роботи Головного управління статистики у Запорізької області, яка у встановлений строк не передала належні їй корпоративні права в управління іншій особі.</w:t>
      </w:r>
    </w:p>
    <w:p w:rsidR="009B452E" w:rsidRPr="00C232E0" w:rsidRDefault="00A90B09" w:rsidP="00C232E0">
      <w:pPr>
        <w:rPr>
          <w:rFonts w:ascii="Verdana" w:hAnsi="Verdana"/>
        </w:rPr>
      </w:pPr>
      <w:r w:rsidRPr="00C232E0">
        <w:rPr>
          <w:rFonts w:ascii="Verdana" w:hAnsi="Verdana"/>
        </w:rPr>
        <w:t>9</w:t>
      </w:r>
      <w:r w:rsidR="009E1733" w:rsidRPr="00C232E0">
        <w:rPr>
          <w:rFonts w:ascii="Verdana" w:hAnsi="Verdana"/>
        </w:rPr>
        <w:t xml:space="preserve">. </w:t>
      </w:r>
      <w:r w:rsidR="009B452E" w:rsidRPr="00C232E0">
        <w:rPr>
          <w:rFonts w:ascii="Verdana" w:hAnsi="Verdana"/>
        </w:rPr>
        <w:t xml:space="preserve">Внесено припис голові </w:t>
      </w:r>
      <w:proofErr w:type="spellStart"/>
      <w:r w:rsidR="009B452E" w:rsidRPr="00C232E0">
        <w:rPr>
          <w:rFonts w:ascii="Verdana" w:hAnsi="Verdana"/>
        </w:rPr>
        <w:t>Аулівської</w:t>
      </w:r>
      <w:proofErr w:type="spellEnd"/>
      <w:r w:rsidR="009B452E" w:rsidRPr="00C232E0">
        <w:rPr>
          <w:rFonts w:ascii="Verdana" w:hAnsi="Verdana"/>
        </w:rPr>
        <w:t xml:space="preserve"> селищної ради Дніпропетровської області стосовно заступника селищного голови з питань діяльності виконавчих органів </w:t>
      </w:r>
      <w:proofErr w:type="spellStart"/>
      <w:r w:rsidR="009B452E" w:rsidRPr="00C232E0">
        <w:rPr>
          <w:rFonts w:ascii="Verdana" w:hAnsi="Verdana"/>
        </w:rPr>
        <w:t>Аулівської</w:t>
      </w:r>
      <w:proofErr w:type="spellEnd"/>
      <w:r w:rsidR="009B452E" w:rsidRPr="00C232E0">
        <w:rPr>
          <w:rFonts w:ascii="Verdana" w:hAnsi="Verdana"/>
        </w:rPr>
        <w:t xml:space="preserve"> селищної ради, який не вжив заходів щодо недопущення виникнення та не повідомив про наявність у нього потенційного конфлікту інтересів, зумовленого перебуванням у його підпорядкуванні близької особи – сина.</w:t>
      </w:r>
    </w:p>
    <w:p w:rsidR="009B452E" w:rsidRPr="00C232E0" w:rsidRDefault="009E1733" w:rsidP="00C232E0">
      <w:pPr>
        <w:rPr>
          <w:rFonts w:ascii="Verdana" w:hAnsi="Verdana"/>
        </w:rPr>
      </w:pPr>
      <w:r w:rsidRPr="00C232E0">
        <w:rPr>
          <w:rFonts w:ascii="Verdana" w:hAnsi="Verdana"/>
        </w:rPr>
        <w:t>1</w:t>
      </w:r>
      <w:r w:rsidR="00A90B09" w:rsidRPr="00C232E0">
        <w:rPr>
          <w:rFonts w:ascii="Verdana" w:hAnsi="Verdana"/>
        </w:rPr>
        <w:t>0</w:t>
      </w:r>
      <w:r w:rsidRPr="00C232E0">
        <w:rPr>
          <w:rFonts w:ascii="Verdana" w:hAnsi="Verdana"/>
        </w:rPr>
        <w:t xml:space="preserve">. </w:t>
      </w:r>
      <w:r w:rsidR="009B452E" w:rsidRPr="00C232E0">
        <w:rPr>
          <w:rFonts w:ascii="Verdana" w:hAnsi="Verdana"/>
        </w:rPr>
        <w:t xml:space="preserve">Внесено припис начальнику відділу освіти, сім’ї, молоді та спорту </w:t>
      </w:r>
      <w:proofErr w:type="spellStart"/>
      <w:r w:rsidR="009B452E" w:rsidRPr="00C232E0">
        <w:rPr>
          <w:rFonts w:ascii="Verdana" w:hAnsi="Verdana"/>
        </w:rPr>
        <w:t>Олександрівської</w:t>
      </w:r>
      <w:proofErr w:type="spellEnd"/>
      <w:r w:rsidR="009B452E" w:rsidRPr="00C232E0">
        <w:rPr>
          <w:rFonts w:ascii="Verdana" w:hAnsi="Verdana"/>
        </w:rPr>
        <w:t xml:space="preserve"> селищної ради Донецької області стосовно директора </w:t>
      </w:r>
      <w:proofErr w:type="spellStart"/>
      <w:r w:rsidR="009B452E" w:rsidRPr="00C232E0">
        <w:rPr>
          <w:rFonts w:ascii="Verdana" w:hAnsi="Verdana"/>
        </w:rPr>
        <w:t>Мирнодолинського</w:t>
      </w:r>
      <w:proofErr w:type="spellEnd"/>
      <w:r w:rsidR="009B452E" w:rsidRPr="00C232E0">
        <w:rPr>
          <w:rFonts w:ascii="Verdana" w:hAnsi="Verdana"/>
        </w:rPr>
        <w:t xml:space="preserve"> навчально-виховного комплексу «Заклад загальної середньої освіти I-III ступенів – дитячий садок» </w:t>
      </w:r>
      <w:proofErr w:type="spellStart"/>
      <w:r w:rsidR="009B452E" w:rsidRPr="00C232E0">
        <w:rPr>
          <w:rFonts w:ascii="Verdana" w:hAnsi="Verdana"/>
        </w:rPr>
        <w:t>Олександрівської</w:t>
      </w:r>
      <w:proofErr w:type="spellEnd"/>
      <w:r w:rsidR="009B452E" w:rsidRPr="00C232E0">
        <w:rPr>
          <w:rFonts w:ascii="Verdana" w:hAnsi="Verdana"/>
        </w:rPr>
        <w:t xml:space="preserve"> селищної ради Донецької області  (далі – </w:t>
      </w:r>
      <w:proofErr w:type="spellStart"/>
      <w:r w:rsidR="009B452E" w:rsidRPr="00C232E0">
        <w:rPr>
          <w:rFonts w:ascii="Verdana" w:hAnsi="Verdana"/>
        </w:rPr>
        <w:t>Мирнодолинський</w:t>
      </w:r>
      <w:proofErr w:type="spellEnd"/>
      <w:r w:rsidR="009B452E" w:rsidRPr="00C232E0">
        <w:rPr>
          <w:rFonts w:ascii="Verdana" w:hAnsi="Verdana"/>
        </w:rPr>
        <w:t xml:space="preserve"> НВК), яка мала повноваження представляти інтереси </w:t>
      </w:r>
      <w:proofErr w:type="spellStart"/>
      <w:r w:rsidR="009B452E" w:rsidRPr="00C232E0">
        <w:rPr>
          <w:rFonts w:ascii="Verdana" w:hAnsi="Verdana"/>
        </w:rPr>
        <w:t>Мирнодолинського</w:t>
      </w:r>
      <w:proofErr w:type="spellEnd"/>
      <w:r w:rsidR="009B452E" w:rsidRPr="00C232E0">
        <w:rPr>
          <w:rFonts w:ascii="Verdana" w:hAnsi="Verdana"/>
        </w:rPr>
        <w:t xml:space="preserve"> НВК як відповідача за своїм позовом до </w:t>
      </w:r>
      <w:proofErr w:type="spellStart"/>
      <w:r w:rsidR="009B452E" w:rsidRPr="00C232E0">
        <w:rPr>
          <w:rFonts w:ascii="Verdana" w:hAnsi="Verdana"/>
        </w:rPr>
        <w:t>Мирнодолинського</w:t>
      </w:r>
      <w:proofErr w:type="spellEnd"/>
      <w:r w:rsidR="009B452E" w:rsidRPr="00C232E0">
        <w:rPr>
          <w:rFonts w:ascii="Verdana" w:hAnsi="Verdana"/>
        </w:rPr>
        <w:t xml:space="preserve"> НВК, що зумовило виникнення у неї потенційного конфлікту інтересів, про який вона несвоєчасно повідомила начальника відділу освіти, сім’ї, молоді та спорту.</w:t>
      </w:r>
    </w:p>
    <w:p w:rsidR="009B452E" w:rsidRPr="00C232E0" w:rsidRDefault="000A2157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НАЗК </w:t>
      </w:r>
      <w:r w:rsidR="009B452E" w:rsidRPr="00C232E0">
        <w:rPr>
          <w:rFonts w:ascii="Verdana" w:hAnsi="Verdana"/>
        </w:rPr>
        <w:t xml:space="preserve">вимагає провести службове розслідування для виявлення причин та умов, що призвели до невиконання </w:t>
      </w:r>
      <w:r w:rsidR="006140AC" w:rsidRPr="00C232E0">
        <w:rPr>
          <w:rFonts w:ascii="Verdana" w:hAnsi="Verdana"/>
        </w:rPr>
        <w:t>особою</w:t>
      </w:r>
      <w:r w:rsidR="009B452E" w:rsidRPr="00C232E0">
        <w:rPr>
          <w:rFonts w:ascii="Verdana" w:hAnsi="Verdana"/>
        </w:rPr>
        <w:t xml:space="preserve"> під час виконання обов’язків директора </w:t>
      </w:r>
      <w:proofErr w:type="spellStart"/>
      <w:r w:rsidR="009B452E" w:rsidRPr="00C232E0">
        <w:rPr>
          <w:rFonts w:ascii="Verdana" w:hAnsi="Verdana"/>
        </w:rPr>
        <w:t>Мирнодолинського</w:t>
      </w:r>
      <w:proofErr w:type="spellEnd"/>
      <w:r w:rsidR="009B452E" w:rsidRPr="00C232E0">
        <w:rPr>
          <w:rFonts w:ascii="Verdana" w:hAnsi="Verdana"/>
        </w:rPr>
        <w:t xml:space="preserve"> НВК вимог пункту 2 частини першої статті 28 Закону, та розглянути питання щодо притягнення у разі встановлення винної особи до передбаченої законом відповідальності.</w:t>
      </w:r>
    </w:p>
    <w:p w:rsidR="004748E1" w:rsidRPr="00C232E0" w:rsidRDefault="009E1733" w:rsidP="00C232E0">
      <w:pPr>
        <w:rPr>
          <w:rFonts w:ascii="Verdana" w:hAnsi="Verdana"/>
        </w:rPr>
      </w:pPr>
      <w:r w:rsidRPr="00C232E0">
        <w:rPr>
          <w:rFonts w:ascii="Verdana" w:hAnsi="Verdana"/>
        </w:rPr>
        <w:t>1</w:t>
      </w:r>
      <w:r w:rsidR="00A90B09" w:rsidRPr="00C232E0">
        <w:rPr>
          <w:rFonts w:ascii="Verdana" w:hAnsi="Verdana"/>
        </w:rPr>
        <w:t>1</w:t>
      </w:r>
      <w:r w:rsidRPr="00C232E0">
        <w:rPr>
          <w:rFonts w:ascii="Verdana" w:hAnsi="Verdana"/>
        </w:rPr>
        <w:t xml:space="preserve">. </w:t>
      </w:r>
      <w:r w:rsidR="004748E1" w:rsidRPr="00C232E0">
        <w:rPr>
          <w:rFonts w:ascii="Verdana" w:hAnsi="Verdana"/>
        </w:rPr>
        <w:t>Печерський районний суд Києва завершив розгляд справи про адміністративне правопорушення за частиною другою статті 172-7 Кодексу України про адміністративні правопорушення (вчинення дій чи прийняття рішень в умовах реального конфлікту інтересів) стосовно народного депутата України VIII скликання.</w:t>
      </w:r>
    </w:p>
    <w:p w:rsidR="004748E1" w:rsidRPr="00C232E0" w:rsidRDefault="004748E1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Постановою від 22.11.2019 у вказаній справі, розпочатій за протоколом про адміністративне правопорушення, складеним уповноваженою особою </w:t>
      </w:r>
      <w:r w:rsidR="000A2157" w:rsidRPr="00C232E0">
        <w:rPr>
          <w:rFonts w:ascii="Verdana" w:hAnsi="Verdana"/>
        </w:rPr>
        <w:t>НАЗК</w:t>
      </w:r>
      <w:r w:rsidRPr="00C232E0">
        <w:rPr>
          <w:rFonts w:ascii="Verdana" w:hAnsi="Verdana"/>
        </w:rPr>
        <w:t xml:space="preserve">, суд визнав вину </w:t>
      </w:r>
      <w:r w:rsidR="009E1733" w:rsidRPr="00C232E0">
        <w:rPr>
          <w:rFonts w:ascii="Verdana" w:hAnsi="Verdana"/>
        </w:rPr>
        <w:t>депутата</w:t>
      </w:r>
      <w:r w:rsidRPr="00C232E0">
        <w:rPr>
          <w:rFonts w:ascii="Verdana" w:hAnsi="Verdana"/>
        </w:rPr>
        <w:t xml:space="preserve"> у вчиненні зазначеного адміністративного правопорушення доведеною повністю.</w:t>
      </w:r>
    </w:p>
    <w:p w:rsidR="004748E1" w:rsidRPr="00C232E0" w:rsidRDefault="004748E1" w:rsidP="00C232E0">
      <w:pPr>
        <w:rPr>
          <w:rFonts w:ascii="Verdana" w:hAnsi="Verdana"/>
        </w:rPr>
      </w:pPr>
      <w:r w:rsidRPr="00C232E0">
        <w:rPr>
          <w:rFonts w:ascii="Verdana" w:hAnsi="Verdana"/>
        </w:rPr>
        <w:lastRenderedPageBreak/>
        <w:t xml:space="preserve">Судом встановлено, що </w:t>
      </w:r>
      <w:r w:rsidR="009E1733" w:rsidRPr="00C232E0">
        <w:rPr>
          <w:rFonts w:ascii="Verdana" w:hAnsi="Verdana"/>
        </w:rPr>
        <w:t>депутат</w:t>
      </w:r>
      <w:r w:rsidRPr="00C232E0">
        <w:rPr>
          <w:rFonts w:ascii="Verdana" w:hAnsi="Verdana"/>
        </w:rPr>
        <w:t>, перебуваючи у статусі підозрюваного у кримінальному провадженні, досудове розслідування у якому здійснювали детективи Національного антикорупційного бюро України, реалізував надане йому право на депутатське звернення з метою задоволення приватного інтересу, а саме дискредитації свідка сторони обвинувачення щодо обставин отримання ним неправомірної вигоди. </w:t>
      </w:r>
    </w:p>
    <w:p w:rsidR="004748E1" w:rsidRPr="00C232E0" w:rsidRDefault="004748E1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Постанова Печерського районного суду м. Києва не набрала законної сили і може бути оскаржена до апеляційного суду.</w:t>
      </w:r>
    </w:p>
    <w:p w:rsidR="00BE1154" w:rsidRPr="00C232E0" w:rsidRDefault="00BE1154" w:rsidP="00C232E0">
      <w:pPr>
        <w:rPr>
          <w:rFonts w:ascii="Verdana" w:hAnsi="Verdana"/>
        </w:rPr>
      </w:pPr>
    </w:p>
    <w:p w:rsidR="00BE1154" w:rsidRPr="00C232E0" w:rsidRDefault="00BE1154" w:rsidP="00C232E0">
      <w:pPr>
        <w:rPr>
          <w:rFonts w:ascii="Verdana" w:hAnsi="Verdana"/>
        </w:rPr>
      </w:pPr>
      <w:proofErr w:type="spellStart"/>
      <w:r w:rsidRPr="00C232E0">
        <w:rPr>
          <w:rFonts w:ascii="Verdana" w:hAnsi="Verdana"/>
        </w:rPr>
        <w:t>Довідково</w:t>
      </w:r>
      <w:proofErr w:type="spellEnd"/>
    </w:p>
    <w:p w:rsidR="00BE1154" w:rsidRPr="00C232E0" w:rsidRDefault="00BE1154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НАЗК</w:t>
      </w:r>
      <w:r w:rsidR="00861B46" w:rsidRPr="00C232E0">
        <w:rPr>
          <w:rFonts w:ascii="Verdana" w:hAnsi="Verdana"/>
        </w:rPr>
        <w:t xml:space="preserve"> на своєму </w:t>
      </w:r>
      <w:proofErr w:type="spellStart"/>
      <w:r w:rsidR="00861B46" w:rsidRPr="00C232E0">
        <w:rPr>
          <w:rFonts w:ascii="Verdana" w:hAnsi="Verdana"/>
        </w:rPr>
        <w:t>вебсайті</w:t>
      </w:r>
      <w:proofErr w:type="spellEnd"/>
      <w:r w:rsidRPr="00C232E0">
        <w:rPr>
          <w:rFonts w:ascii="Verdana" w:hAnsi="Verdana"/>
        </w:rPr>
        <w:t xml:space="preserve"> нагадує про те, що</w:t>
      </w:r>
      <w:r w:rsidR="00861B46" w:rsidRPr="00C232E0">
        <w:rPr>
          <w:rFonts w:ascii="Verdana" w:hAnsi="Verdana"/>
        </w:rPr>
        <w:t xml:space="preserve"> у 2019 році в рамках спільного проекту, який виконується Програмою розвитку ООН в Україні та фінансується Міністерством закордонних справ Данії,</w:t>
      </w:r>
      <w:r w:rsidRPr="00C232E0">
        <w:rPr>
          <w:rFonts w:ascii="Verdana" w:hAnsi="Verdana"/>
        </w:rPr>
        <w:t xml:space="preserve"> </w:t>
      </w:r>
      <w:r w:rsidR="00861B46" w:rsidRPr="00C232E0">
        <w:rPr>
          <w:rFonts w:ascii="Verdana" w:hAnsi="Verdana"/>
        </w:rPr>
        <w:t>відбувся с</w:t>
      </w:r>
      <w:r w:rsidRPr="00C232E0">
        <w:rPr>
          <w:rFonts w:ascii="Verdana" w:hAnsi="Verdana"/>
        </w:rPr>
        <w:t xml:space="preserve">тарт безкоштовного </w:t>
      </w:r>
      <w:proofErr w:type="spellStart"/>
      <w:r w:rsidRPr="00C232E0">
        <w:rPr>
          <w:rFonts w:ascii="Verdana" w:hAnsi="Verdana"/>
        </w:rPr>
        <w:t>онлайн-курсу</w:t>
      </w:r>
      <w:proofErr w:type="spellEnd"/>
      <w:r w:rsidRPr="00C232E0">
        <w:rPr>
          <w:rFonts w:ascii="Verdana" w:hAnsi="Verdana"/>
        </w:rPr>
        <w:t xml:space="preserve"> НАЗК «Конфлікт інтересів: треба знати! Від теорії до практики»</w:t>
      </w:r>
      <w:r w:rsidR="00861B46" w:rsidRPr="00C232E0">
        <w:rPr>
          <w:rFonts w:ascii="Verdana" w:hAnsi="Verdana"/>
        </w:rPr>
        <w:t>.</w:t>
      </w:r>
    </w:p>
    <w:p w:rsidR="00BE1154" w:rsidRPr="00C232E0" w:rsidRDefault="00BE1154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За підсумками першого року робо</w:t>
      </w:r>
      <w:r w:rsidR="006140AC" w:rsidRPr="00C232E0">
        <w:rPr>
          <w:rFonts w:ascii="Verdana" w:hAnsi="Verdana"/>
        </w:rPr>
        <w:t xml:space="preserve">ти слухачами </w:t>
      </w:r>
      <w:proofErr w:type="spellStart"/>
      <w:r w:rsidR="006140AC" w:rsidRPr="00C232E0">
        <w:rPr>
          <w:rFonts w:ascii="Verdana" w:hAnsi="Verdana"/>
        </w:rPr>
        <w:t>онлайн-курсу</w:t>
      </w:r>
      <w:proofErr w:type="spellEnd"/>
      <w:r w:rsidR="006140AC" w:rsidRPr="00C232E0">
        <w:rPr>
          <w:rFonts w:ascii="Verdana" w:hAnsi="Verdana"/>
        </w:rPr>
        <w:t xml:space="preserve"> стали</w:t>
      </w:r>
      <w:r w:rsidR="00861B46" w:rsidRPr="00C232E0">
        <w:rPr>
          <w:rFonts w:ascii="Verdana" w:hAnsi="Verdana"/>
        </w:rPr>
        <w:t xml:space="preserve"> </w:t>
      </w:r>
      <w:r w:rsidRPr="00C232E0">
        <w:rPr>
          <w:rFonts w:ascii="Verdana" w:hAnsi="Verdana"/>
        </w:rPr>
        <w:t>31 тисяча суб’єктів декларування. З них понад 23 тисячі отримали сертифікати про успішне закінчення курсу.</w:t>
      </w:r>
    </w:p>
    <w:p w:rsidR="00BE1154" w:rsidRPr="00C232E0" w:rsidRDefault="00BE1154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Метою </w:t>
      </w:r>
      <w:proofErr w:type="spellStart"/>
      <w:r w:rsidRPr="00C232E0">
        <w:rPr>
          <w:rFonts w:ascii="Verdana" w:hAnsi="Verdana"/>
        </w:rPr>
        <w:t>онлайн-курсу</w:t>
      </w:r>
      <w:proofErr w:type="spellEnd"/>
      <w:r w:rsidRPr="00C232E0">
        <w:rPr>
          <w:rFonts w:ascii="Verdana" w:hAnsi="Verdana"/>
        </w:rPr>
        <w:t xml:space="preserve"> є удосконалення базових знань про конфлікт інтересів, підвищення ефективності виявлення, запобігання та врегулювання конфлікту інтересів, дотримання заборон та обмежень з урахуванням проблемних питань, які були виявлені під час правозастосовної практики.</w:t>
      </w:r>
    </w:p>
    <w:p w:rsidR="00BE1154" w:rsidRPr="00C232E0" w:rsidRDefault="00BE1154" w:rsidP="00C232E0">
      <w:pPr>
        <w:rPr>
          <w:rFonts w:ascii="Verdana" w:hAnsi="Verdana"/>
        </w:rPr>
      </w:pPr>
      <w:proofErr w:type="spellStart"/>
      <w:r w:rsidRPr="00C232E0">
        <w:rPr>
          <w:rFonts w:ascii="Verdana" w:hAnsi="Verdana"/>
        </w:rPr>
        <w:t>Онлайн-курс</w:t>
      </w:r>
      <w:proofErr w:type="spellEnd"/>
      <w:r w:rsidRPr="00C232E0">
        <w:rPr>
          <w:rFonts w:ascii="Verdana" w:hAnsi="Verdana"/>
        </w:rPr>
        <w:t xml:space="preserve"> «Конфлікт інтересів: треба знати! Від теорії до практики» допомагає особам, у діяльності яких виникає конфлікт інтересів, а також тим, хто такий конфлікт інтересів зобов’язаний врегульовувати.</w:t>
      </w:r>
    </w:p>
    <w:p w:rsidR="00BE1154" w:rsidRPr="00C232E0" w:rsidRDefault="00BE1154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Зокрема, слухачі курсу отримують можливість ознайомитися з переліком типових ситуацій, які зумовлюють наявність у особи приватного інтересу, детальніше вивчити питання щодо запобігання конфлікту інтересів у зв’язку з наявністю корпоративних прав, ознайомитися з типовими помилками при врегулюванні конфлікту інтересів, щоб не допускати їх в своїй діяльності, та іншими актуальними з точки зору правозастосування питаннями.</w:t>
      </w:r>
    </w:p>
    <w:p w:rsidR="00BE1154" w:rsidRPr="00C232E0" w:rsidRDefault="00BE1154" w:rsidP="00C232E0">
      <w:pPr>
        <w:rPr>
          <w:rFonts w:ascii="Verdana" w:hAnsi="Verdana"/>
        </w:rPr>
      </w:pPr>
      <w:r w:rsidRPr="00C232E0">
        <w:rPr>
          <w:rFonts w:ascii="Verdana" w:hAnsi="Verdana"/>
        </w:rPr>
        <w:t xml:space="preserve">Долучитись до </w:t>
      </w:r>
      <w:proofErr w:type="spellStart"/>
      <w:r w:rsidRPr="00C232E0">
        <w:rPr>
          <w:rFonts w:ascii="Verdana" w:hAnsi="Verdana"/>
        </w:rPr>
        <w:t>онлайн-курсу</w:t>
      </w:r>
      <w:proofErr w:type="spellEnd"/>
      <w:r w:rsidRPr="00C232E0">
        <w:rPr>
          <w:rFonts w:ascii="Verdana" w:hAnsi="Verdana"/>
        </w:rPr>
        <w:t xml:space="preserve"> «Конфлікт інтересів: треба знати! Від теорії до практики», який є корисним для запобігання та врегулювання конфлікту інтересів, можна</w:t>
      </w:r>
      <w:r w:rsidR="00861B46" w:rsidRPr="00C232E0">
        <w:rPr>
          <w:rFonts w:ascii="Verdana" w:hAnsi="Verdana"/>
        </w:rPr>
        <w:t xml:space="preserve"> </w:t>
      </w:r>
      <w:hyperlink r:id="rId4" w:history="1">
        <w:r w:rsidRPr="00C232E0">
          <w:rPr>
            <w:rStyle w:val="a5"/>
            <w:rFonts w:ascii="Verdana" w:hAnsi="Verdana"/>
          </w:rPr>
          <w:t>за посиланням</w:t>
        </w:r>
      </w:hyperlink>
      <w:r w:rsidR="00861B46" w:rsidRPr="00C232E0">
        <w:rPr>
          <w:rFonts w:ascii="Verdana" w:hAnsi="Verdana"/>
        </w:rPr>
        <w:t xml:space="preserve">: </w:t>
      </w:r>
      <w:hyperlink r:id="rId5" w:history="1">
        <w:r w:rsidR="00861B46" w:rsidRPr="00C232E0">
          <w:rPr>
            <w:rStyle w:val="a5"/>
            <w:rFonts w:ascii="Verdana" w:hAnsi="Verdana"/>
          </w:rPr>
          <w:t>https://courses.prometheus.org.ua/courses/course-v1:NAZK+COI102+2019_T1/about</w:t>
        </w:r>
      </w:hyperlink>
      <w:r w:rsidR="00861B46" w:rsidRPr="00C232E0">
        <w:rPr>
          <w:rFonts w:ascii="Verdana" w:hAnsi="Verdana"/>
        </w:rPr>
        <w:t>.</w:t>
      </w:r>
    </w:p>
    <w:p w:rsidR="006140AC" w:rsidRPr="00C232E0" w:rsidRDefault="006140AC" w:rsidP="00C232E0">
      <w:pPr>
        <w:rPr>
          <w:rFonts w:ascii="Verdana" w:hAnsi="Verdana"/>
        </w:rPr>
      </w:pPr>
    </w:p>
    <w:p w:rsidR="00A90B09" w:rsidRPr="00C232E0" w:rsidRDefault="00A90B09" w:rsidP="00C232E0">
      <w:pPr>
        <w:rPr>
          <w:rFonts w:ascii="Verdana" w:hAnsi="Verdana"/>
        </w:rPr>
      </w:pPr>
    </w:p>
    <w:p w:rsidR="00A90B09" w:rsidRPr="00C232E0" w:rsidRDefault="00A90B09" w:rsidP="00C232E0">
      <w:pPr>
        <w:rPr>
          <w:rFonts w:ascii="Verdana" w:hAnsi="Verdana"/>
        </w:rPr>
      </w:pPr>
    </w:p>
    <w:p w:rsidR="006140AC" w:rsidRPr="00C232E0" w:rsidRDefault="00BE1154" w:rsidP="00C232E0">
      <w:pPr>
        <w:rPr>
          <w:rFonts w:ascii="Verdana" w:hAnsi="Verdana"/>
        </w:rPr>
      </w:pPr>
      <w:r w:rsidRPr="00C232E0">
        <w:rPr>
          <w:rFonts w:ascii="Verdana" w:hAnsi="Verdana"/>
        </w:rPr>
        <w:t>Управління запобігання корупції та</w:t>
      </w:r>
    </w:p>
    <w:p w:rsidR="00BE1154" w:rsidRPr="00C232E0" w:rsidRDefault="00BE1154" w:rsidP="00C232E0">
      <w:pPr>
        <w:rPr>
          <w:rFonts w:ascii="Verdana" w:hAnsi="Verdana"/>
        </w:rPr>
      </w:pPr>
      <w:r w:rsidRPr="00C232E0">
        <w:rPr>
          <w:rFonts w:ascii="Verdana" w:hAnsi="Verdana"/>
        </w:rPr>
        <w:t>проведення люстрації МВС</w:t>
      </w:r>
    </w:p>
    <w:sectPr w:rsidR="00BE1154" w:rsidRPr="00C232E0" w:rsidSect="006140A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EA9"/>
    <w:rsid w:val="000933CB"/>
    <w:rsid w:val="000A2157"/>
    <w:rsid w:val="003D0386"/>
    <w:rsid w:val="004748E1"/>
    <w:rsid w:val="004F3941"/>
    <w:rsid w:val="00530AE6"/>
    <w:rsid w:val="006140AC"/>
    <w:rsid w:val="00682EA5"/>
    <w:rsid w:val="00776C3E"/>
    <w:rsid w:val="007C3B9B"/>
    <w:rsid w:val="00861B46"/>
    <w:rsid w:val="00953D24"/>
    <w:rsid w:val="009B452E"/>
    <w:rsid w:val="009E1733"/>
    <w:rsid w:val="00A44827"/>
    <w:rsid w:val="00A90B09"/>
    <w:rsid w:val="00AE1827"/>
    <w:rsid w:val="00B95482"/>
    <w:rsid w:val="00BE1154"/>
    <w:rsid w:val="00C232E0"/>
    <w:rsid w:val="00C4439F"/>
    <w:rsid w:val="00CA5730"/>
    <w:rsid w:val="00CF4177"/>
    <w:rsid w:val="00CF6B8D"/>
    <w:rsid w:val="00E300D9"/>
    <w:rsid w:val="00F20D70"/>
    <w:rsid w:val="00F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0"/>
  </w:style>
  <w:style w:type="paragraph" w:styleId="1">
    <w:name w:val="heading 1"/>
    <w:basedOn w:val="a"/>
    <w:link w:val="10"/>
    <w:uiPriority w:val="9"/>
    <w:qFormat/>
    <w:rsid w:val="00FE6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E6EA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Emphasis"/>
    <w:basedOn w:val="a0"/>
    <w:uiPriority w:val="20"/>
    <w:qFormat/>
    <w:rsid w:val="00FE6EA9"/>
    <w:rPr>
      <w:i/>
      <w:iCs/>
    </w:rPr>
  </w:style>
  <w:style w:type="character" w:styleId="a5">
    <w:name w:val="Hyperlink"/>
    <w:basedOn w:val="a0"/>
    <w:uiPriority w:val="99"/>
    <w:unhideWhenUsed/>
    <w:rsid w:val="00BE11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5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NAZK+COI102+2019_T1/about" TargetMode="External"/><Relationship Id="rId4" Type="http://schemas.openxmlformats.org/officeDocument/2006/relationships/hyperlink" Target="https://courses.prometheus.org.ua/courses/course-v1:NAZK+COI102+2019_T1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7127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Люстратор</dc:creator>
  <cp:lastModifiedBy>Пользователь Windows</cp:lastModifiedBy>
  <cp:revision>3</cp:revision>
  <cp:lastPrinted>2020-01-08T14:17:00Z</cp:lastPrinted>
  <dcterms:created xsi:type="dcterms:W3CDTF">2020-01-10T10:47:00Z</dcterms:created>
  <dcterms:modified xsi:type="dcterms:W3CDTF">2020-01-10T10:47:00Z</dcterms:modified>
</cp:coreProperties>
</file>