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50" w:rsidRPr="007528ED" w:rsidRDefault="009F3B50" w:rsidP="009F3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7528ED">
        <w:rPr>
          <w:rFonts w:ascii="Times New Roman" w:hAnsi="Times New Roman" w:cs="Times New Roman"/>
          <w:b/>
          <w:sz w:val="24"/>
          <w:szCs w:val="24"/>
          <w:lang w:val="uk-UA"/>
        </w:rPr>
        <w:t>ЄВРОПЕЙСЬКИЙ СУД З ПРАВ ЛЮДИНИ</w:t>
      </w:r>
    </w:p>
    <w:p w:rsidR="009F3B50" w:rsidRPr="006E4ED9" w:rsidRDefault="009F3B50" w:rsidP="009F3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8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СПРАВА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«КОРОСТИЛЬОВ </w:t>
      </w:r>
      <w:r w:rsidRPr="006E4ED9">
        <w:rPr>
          <w:rFonts w:ascii="Times New Roman" w:hAnsi="Times New Roman" w:cs="Times New Roman"/>
          <w:b/>
          <w:sz w:val="24"/>
          <w:szCs w:val="24"/>
          <w:lang w:val="uk-UA"/>
        </w:rPr>
        <w:t>ПРОТИ УКРАЇНИ»</w:t>
      </w:r>
    </w:p>
    <w:p w:rsidR="009F3B50" w:rsidRDefault="009F3B50" w:rsidP="009F3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(CASE OF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KOROSTYLYOV</w:t>
      </w:r>
      <w:r w:rsidRPr="006E4ED9">
        <w:rPr>
          <w:rFonts w:ascii="Times New Roman" w:hAnsi="Times New Roman" w:cs="Times New Roman"/>
          <w:b/>
          <w:sz w:val="24"/>
          <w:szCs w:val="24"/>
          <w:lang w:val="uk-UA"/>
        </w:rPr>
        <w:t>v. UKRAINE)</w:t>
      </w:r>
    </w:p>
    <w:p w:rsidR="009F3B50" w:rsidRDefault="009F3B50" w:rsidP="009F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F3B50">
        <w:rPr>
          <w:rFonts w:ascii="Times New Roman" w:hAnsi="Times New Roman" w:cs="Times New Roman"/>
          <w:sz w:val="24"/>
          <w:szCs w:val="24"/>
        </w:rPr>
        <w:t>з</w:t>
      </w:r>
      <w:r w:rsidRPr="00135A57">
        <w:rPr>
          <w:rFonts w:ascii="Times New Roman" w:hAnsi="Times New Roman" w:cs="Times New Roman"/>
          <w:sz w:val="24"/>
          <w:szCs w:val="24"/>
          <w:lang w:val="uk-UA"/>
        </w:rPr>
        <w:t>аяв</w:t>
      </w:r>
      <w:r w:rsidRPr="00AC4AE8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135A5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9F3B50">
        <w:rPr>
          <w:rFonts w:ascii="Times New Roman" w:hAnsi="Times New Roman" w:cs="Times New Roman"/>
          <w:iCs/>
          <w:sz w:val="24"/>
          <w:szCs w:val="24"/>
        </w:rPr>
        <w:t>37790/18</w:t>
      </w:r>
      <w:r w:rsidRPr="00135A5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F3B50" w:rsidRPr="00AC4AE8" w:rsidRDefault="009F3B50" w:rsidP="009F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F3B50" w:rsidRPr="003A73CD" w:rsidRDefault="009F3B50" w:rsidP="009F3B5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8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Стислий виклад рішення від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липня 2019</w:t>
      </w:r>
      <w:r w:rsidRPr="007528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9F3B50" w:rsidRPr="006A7644" w:rsidRDefault="009F3B50" w:rsidP="009F3B50">
      <w:pPr>
        <w:pStyle w:val="ECHRPara"/>
        <w:rPr>
          <w:rFonts w:ascii="Times New Roman" w:eastAsia="PMingLiU" w:hAnsi="Times New Roman" w:cs="Times New Roman"/>
          <w:szCs w:val="24"/>
          <w:lang w:val="uk-UA"/>
        </w:rPr>
      </w:pPr>
      <w:r w:rsidRPr="006A7644">
        <w:rPr>
          <w:rFonts w:ascii="Times New Roman" w:hAnsi="Times New Roman" w:cs="Times New Roman"/>
          <w:szCs w:val="24"/>
          <w:lang w:val="uk-UA"/>
        </w:rPr>
        <w:t>До Європейського суду з прав людини (далі – Європейський суд) заявник скаржи</w:t>
      </w:r>
      <w:r w:rsidR="00C62400">
        <w:rPr>
          <w:rFonts w:ascii="Times New Roman" w:hAnsi="Times New Roman" w:cs="Times New Roman"/>
          <w:szCs w:val="24"/>
          <w:lang w:val="uk-UA"/>
        </w:rPr>
        <w:t>вся</w:t>
      </w:r>
      <w:r w:rsidRPr="006A7644">
        <w:rPr>
          <w:rFonts w:ascii="Times New Roman" w:hAnsi="Times New Roman" w:cs="Times New Roman"/>
          <w:szCs w:val="24"/>
          <w:lang w:val="uk-UA"/>
        </w:rPr>
        <w:t xml:space="preserve"> за пунктом 3 статті 5 Конвенції про захист прав людини і основоположних свобод (далі – Конвенція) </w:t>
      </w:r>
      <w:r w:rsidRPr="006A7644">
        <w:rPr>
          <w:rFonts w:ascii="Times New Roman" w:eastAsia="PMingLiU" w:hAnsi="Times New Roman" w:cs="Times New Roman"/>
          <w:szCs w:val="24"/>
          <w:lang w:val="uk-UA"/>
        </w:rPr>
        <w:t xml:space="preserve">на надмірну тривалість досудового тримання </w:t>
      </w:r>
      <w:r w:rsidR="00C62400">
        <w:rPr>
          <w:rFonts w:ascii="Times New Roman" w:eastAsia="PMingLiU" w:hAnsi="Times New Roman" w:cs="Times New Roman"/>
          <w:szCs w:val="24"/>
          <w:lang w:val="uk-UA"/>
        </w:rPr>
        <w:t xml:space="preserve">його </w:t>
      </w:r>
      <w:r w:rsidRPr="006A7644">
        <w:rPr>
          <w:rFonts w:ascii="Times New Roman" w:eastAsia="PMingLiU" w:hAnsi="Times New Roman" w:cs="Times New Roman"/>
          <w:szCs w:val="24"/>
          <w:lang w:val="uk-UA"/>
        </w:rPr>
        <w:t xml:space="preserve">під вартою. </w:t>
      </w:r>
      <w:r w:rsidR="0034237B">
        <w:rPr>
          <w:rFonts w:ascii="Times New Roman" w:eastAsia="PMingLiU" w:hAnsi="Times New Roman" w:cs="Times New Roman"/>
          <w:szCs w:val="24"/>
          <w:lang w:val="uk-UA"/>
        </w:rPr>
        <w:t xml:space="preserve">Заявниктакож </w:t>
      </w:r>
      <w:r w:rsidRPr="006A7644">
        <w:rPr>
          <w:rFonts w:ascii="Times New Roman" w:hAnsi="Times New Roman" w:cs="Times New Roman"/>
          <w:szCs w:val="24"/>
          <w:lang w:val="uk-UA"/>
        </w:rPr>
        <w:t>скаржи</w:t>
      </w:r>
      <w:r w:rsidR="0034237B">
        <w:rPr>
          <w:rFonts w:ascii="Times New Roman" w:hAnsi="Times New Roman" w:cs="Times New Roman"/>
          <w:szCs w:val="24"/>
          <w:lang w:val="uk-UA"/>
        </w:rPr>
        <w:t>вся</w:t>
      </w:r>
      <w:r w:rsidRPr="006A7644">
        <w:rPr>
          <w:rFonts w:ascii="Times New Roman" w:hAnsi="Times New Roman" w:cs="Times New Roman"/>
          <w:szCs w:val="24"/>
          <w:lang w:val="uk-UA"/>
        </w:rPr>
        <w:t xml:space="preserve"> за іншими положеннями Конвенції відповідно до устале</w:t>
      </w:r>
      <w:r w:rsidR="00FB6C71">
        <w:rPr>
          <w:rFonts w:ascii="Times New Roman" w:hAnsi="Times New Roman" w:cs="Times New Roman"/>
          <w:szCs w:val="24"/>
          <w:lang w:val="uk-UA"/>
        </w:rPr>
        <w:t>ної практики Європейського суду на відсутність компенсації за незаконне затримання або тримання під вартою та на надмірну тривалість кримінального провадження.</w:t>
      </w:r>
    </w:p>
    <w:p w:rsidR="009F3B50" w:rsidRPr="006A7644" w:rsidRDefault="009F3B50" w:rsidP="009F3B50">
      <w:pPr>
        <w:pStyle w:val="ECHRPara"/>
        <w:rPr>
          <w:rFonts w:ascii="Times New Roman" w:hAnsi="Times New Roman" w:cs="Times New Roman"/>
          <w:szCs w:val="24"/>
          <w:lang w:val="uk-UA"/>
        </w:rPr>
      </w:pPr>
      <w:r w:rsidRPr="006A7644">
        <w:rPr>
          <w:rFonts w:ascii="Times New Roman" w:eastAsia="PMingLiU" w:hAnsi="Times New Roman" w:cs="Times New Roman"/>
          <w:szCs w:val="24"/>
          <w:lang w:val="uk-UA"/>
        </w:rPr>
        <w:t>Розглянувши скарги заявник</w:t>
      </w:r>
      <w:r w:rsidR="0034237B">
        <w:rPr>
          <w:rFonts w:ascii="Times New Roman" w:eastAsia="PMingLiU" w:hAnsi="Times New Roman" w:cs="Times New Roman"/>
          <w:szCs w:val="24"/>
          <w:lang w:val="uk-UA"/>
        </w:rPr>
        <w:t>а</w:t>
      </w:r>
      <w:r w:rsidRPr="006A7644">
        <w:rPr>
          <w:rFonts w:ascii="Times New Roman" w:eastAsia="PMingLiU" w:hAnsi="Times New Roman" w:cs="Times New Roman"/>
          <w:szCs w:val="24"/>
          <w:lang w:val="uk-UA"/>
        </w:rPr>
        <w:t xml:space="preserve"> за пунктом 3 статті 5 Конвенції, Європейський суд, посилаючись на рішення у справах </w:t>
      </w:r>
      <w:r w:rsidRPr="006A7644">
        <w:rPr>
          <w:rFonts w:ascii="Times New Roman" w:eastAsia="PMingLiU" w:hAnsi="Times New Roman" w:cs="Times New Roman"/>
          <w:i/>
          <w:szCs w:val="24"/>
          <w:lang w:val="uk-UA"/>
        </w:rPr>
        <w:t>«Харченко проти України»</w:t>
      </w:r>
      <w:r w:rsidRPr="006A7644">
        <w:rPr>
          <w:rFonts w:ascii="Times New Roman" w:eastAsia="PMingLiU" w:hAnsi="Times New Roman" w:cs="Times New Roman"/>
          <w:szCs w:val="24"/>
          <w:lang w:val="uk-UA"/>
        </w:rPr>
        <w:t xml:space="preserve"> та </w:t>
      </w:r>
      <w:r w:rsidRPr="006A7644">
        <w:rPr>
          <w:rFonts w:ascii="Times New Roman" w:eastAsia="PMingLiU" w:hAnsi="Times New Roman" w:cs="Times New Roman"/>
          <w:i/>
          <w:szCs w:val="24"/>
          <w:lang w:val="uk-UA"/>
        </w:rPr>
        <w:t>«Ігнатов проти України»</w:t>
      </w:r>
      <w:r w:rsidRPr="006A7644">
        <w:rPr>
          <w:rFonts w:ascii="Times New Roman" w:eastAsia="PMingLiU" w:hAnsi="Times New Roman" w:cs="Times New Roman"/>
          <w:szCs w:val="24"/>
          <w:lang w:val="uk-UA"/>
        </w:rPr>
        <w:t xml:space="preserve">, </w:t>
      </w:r>
      <w:r w:rsidRPr="006A7644">
        <w:rPr>
          <w:rFonts w:ascii="Times New Roman" w:hAnsi="Times New Roman" w:cs="Times New Roman"/>
          <w:szCs w:val="24"/>
          <w:lang w:val="uk-UA"/>
        </w:rPr>
        <w:t>дійшов висновку, що у цій справі тривалість досудового тримання заявник</w:t>
      </w:r>
      <w:r w:rsidR="0034237B">
        <w:rPr>
          <w:rFonts w:ascii="Times New Roman" w:hAnsi="Times New Roman" w:cs="Times New Roman"/>
          <w:szCs w:val="24"/>
          <w:lang w:val="uk-UA"/>
        </w:rPr>
        <w:t>а</w:t>
      </w:r>
      <w:r w:rsidRPr="006A7644">
        <w:rPr>
          <w:rFonts w:ascii="Times New Roman" w:hAnsi="Times New Roman" w:cs="Times New Roman"/>
          <w:szCs w:val="24"/>
          <w:lang w:val="uk-UA"/>
        </w:rPr>
        <w:t xml:space="preserve"> під вартою була надмірною та констатував порушення </w:t>
      </w:r>
      <w:r>
        <w:rPr>
          <w:rFonts w:ascii="Times New Roman" w:hAnsi="Times New Roman" w:cs="Times New Roman"/>
          <w:szCs w:val="24"/>
          <w:lang w:val="uk-UA"/>
        </w:rPr>
        <w:t>ц</w:t>
      </w:r>
      <w:r w:rsidR="0034237B">
        <w:rPr>
          <w:rFonts w:ascii="Times New Roman" w:hAnsi="Times New Roman" w:cs="Times New Roman"/>
          <w:szCs w:val="24"/>
          <w:lang w:val="uk-UA"/>
        </w:rPr>
        <w:t>ього</w:t>
      </w:r>
      <w:r>
        <w:rPr>
          <w:rFonts w:ascii="Times New Roman" w:hAnsi="Times New Roman" w:cs="Times New Roman"/>
          <w:szCs w:val="24"/>
          <w:lang w:val="uk-UA"/>
        </w:rPr>
        <w:t xml:space="preserve"> положен</w:t>
      </w:r>
      <w:r w:rsidR="0034237B">
        <w:rPr>
          <w:rFonts w:ascii="Times New Roman" w:hAnsi="Times New Roman" w:cs="Times New Roman"/>
          <w:szCs w:val="24"/>
          <w:lang w:val="uk-UA"/>
        </w:rPr>
        <w:t>ня</w:t>
      </w:r>
      <w:r w:rsidRPr="006A7644">
        <w:rPr>
          <w:rFonts w:ascii="Times New Roman" w:hAnsi="Times New Roman" w:cs="Times New Roman"/>
          <w:szCs w:val="24"/>
          <w:lang w:val="uk-UA"/>
        </w:rPr>
        <w:t xml:space="preserve"> Конвенції</w:t>
      </w:r>
      <w:r w:rsidRPr="006A7644">
        <w:rPr>
          <w:rFonts w:ascii="Times New Roman" w:eastAsia="Times New Roman" w:hAnsi="Times New Roman" w:cs="Times New Roman"/>
          <w:szCs w:val="24"/>
          <w:bdr w:val="nil"/>
          <w:lang w:val="uk-UA"/>
        </w:rPr>
        <w:t xml:space="preserve">. </w:t>
      </w:r>
    </w:p>
    <w:p w:rsidR="009F3B50" w:rsidRPr="006A7644" w:rsidRDefault="009F3B50" w:rsidP="009F3B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il"/>
          <w:lang w:val="uk-UA"/>
        </w:rPr>
      </w:pPr>
      <w:r w:rsidRPr="006A7644">
        <w:rPr>
          <w:rFonts w:ascii="Times New Roman" w:eastAsia="Times New Roman" w:hAnsi="Times New Roman" w:cs="Times New Roman"/>
          <w:sz w:val="24"/>
          <w:szCs w:val="24"/>
          <w:bdr w:val="nil"/>
          <w:lang w:val="uk-UA"/>
        </w:rPr>
        <w:t>Європейський суд також розглянув інші скарги заявник</w:t>
      </w:r>
      <w:r w:rsidR="0034237B">
        <w:rPr>
          <w:rFonts w:ascii="Times New Roman" w:eastAsia="Times New Roman" w:hAnsi="Times New Roman" w:cs="Times New Roman"/>
          <w:sz w:val="24"/>
          <w:szCs w:val="24"/>
          <w:bdr w:val="nil"/>
          <w:lang w:val="uk-UA"/>
        </w:rPr>
        <w:t>а</w:t>
      </w:r>
      <w:r w:rsidRPr="006A7644">
        <w:rPr>
          <w:rFonts w:ascii="Times New Roman" w:eastAsia="Times New Roman" w:hAnsi="Times New Roman" w:cs="Times New Roman"/>
          <w:sz w:val="24"/>
          <w:szCs w:val="24"/>
          <w:bdr w:val="nil"/>
          <w:lang w:val="uk-UA"/>
        </w:rPr>
        <w:t xml:space="preserve"> та, посилаючись на свою попередню практику у справах щодо України, дійшов висновку, що було порушено </w:t>
      </w:r>
      <w:r w:rsidR="0034237B">
        <w:rPr>
          <w:rFonts w:ascii="Times New Roman" w:hAnsi="Times New Roman" w:cs="Times New Roman"/>
          <w:sz w:val="24"/>
          <w:szCs w:val="24"/>
          <w:lang w:val="uk-UA"/>
        </w:rPr>
        <w:t>пункт 5</w:t>
      </w:r>
      <w:r w:rsidRPr="006A7644">
        <w:rPr>
          <w:rFonts w:ascii="Times New Roman" w:hAnsi="Times New Roman" w:cs="Times New Roman"/>
          <w:sz w:val="24"/>
          <w:szCs w:val="24"/>
          <w:lang w:val="uk-UA"/>
        </w:rPr>
        <w:t xml:space="preserve"> статті 5 Конвенції у зв’язку з </w:t>
      </w:r>
      <w:r w:rsidR="0034237B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відсутністю або неналежним відшкодування за </w:t>
      </w:r>
      <w:r w:rsidR="00E84216">
        <w:rPr>
          <w:rFonts w:ascii="Times New Roman" w:eastAsia="PMingLiU" w:hAnsi="Times New Roman" w:cs="Times New Roman"/>
          <w:sz w:val="24"/>
          <w:szCs w:val="24"/>
          <w:lang w:val="uk-UA"/>
        </w:rPr>
        <w:t>незаконне затримання або тримання під вартою</w:t>
      </w:r>
      <w:r w:rsidR="0034237B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 1 </w:t>
      </w:r>
      <w:r w:rsidRPr="006A7644">
        <w:rPr>
          <w:rFonts w:ascii="Times New Roman" w:hAnsi="Times New Roman" w:cs="Times New Roman"/>
          <w:sz w:val="24"/>
          <w:szCs w:val="24"/>
          <w:lang w:val="uk-UA"/>
        </w:rPr>
        <w:t>статт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7644">
        <w:rPr>
          <w:rFonts w:ascii="Times New Roman" w:hAnsi="Times New Roman" w:cs="Times New Roman"/>
          <w:sz w:val="24"/>
          <w:szCs w:val="24"/>
          <w:lang w:val="uk-UA"/>
        </w:rPr>
        <w:t xml:space="preserve"> 6 Конвенції у зв’язку з </w:t>
      </w:r>
      <w:r w:rsidRPr="006A7644">
        <w:rPr>
          <w:rFonts w:ascii="Times New Roman" w:eastAsia="PMingLiU" w:hAnsi="Times New Roman" w:cs="Times New Roman"/>
          <w:sz w:val="24"/>
          <w:szCs w:val="24"/>
          <w:lang w:val="uk-UA"/>
        </w:rPr>
        <w:t>надмірною тривалістю кримінального провадження</w:t>
      </w:r>
      <w:r w:rsidRPr="006A7644">
        <w:rPr>
          <w:rFonts w:ascii="Times New Roman" w:eastAsia="Times New Roman" w:hAnsi="Times New Roman" w:cs="Times New Roman"/>
          <w:sz w:val="24"/>
          <w:szCs w:val="24"/>
          <w:bdr w:val="nil"/>
          <w:lang w:val="uk-UA"/>
        </w:rPr>
        <w:t>.</w:t>
      </w:r>
    </w:p>
    <w:p w:rsidR="009F3B50" w:rsidRPr="00415ACD" w:rsidRDefault="009F3B50" w:rsidP="009F3B50">
      <w:pPr>
        <w:pStyle w:val="ECHRTitle1"/>
        <w:rPr>
          <w:sz w:val="24"/>
          <w:szCs w:val="24"/>
          <w:lang w:val="ru-RU"/>
        </w:rPr>
      </w:pPr>
      <w:r w:rsidRPr="00D030E6">
        <w:rPr>
          <w:sz w:val="24"/>
          <w:szCs w:val="24"/>
          <w:lang w:val="ru-RU"/>
        </w:rPr>
        <w:t>ЗА ЦИХ ПІДСТАВ СУД ОДНОГОЛОСНО</w:t>
      </w:r>
    </w:p>
    <w:p w:rsidR="00861980" w:rsidRPr="00861980" w:rsidRDefault="009F3B50" w:rsidP="00861980">
      <w:pPr>
        <w:pStyle w:val="JuList"/>
        <w:rPr>
          <w:rFonts w:ascii="Times New Roman" w:eastAsia="MS Mincho" w:hAnsi="Times New Roman" w:cs="Times New Roman"/>
          <w:lang w:val="uk-UA"/>
        </w:rPr>
      </w:pPr>
      <w:r w:rsidRPr="00861980">
        <w:rPr>
          <w:rFonts w:ascii="Times New Roman" w:hAnsi="Times New Roman" w:cs="Times New Roman"/>
          <w:szCs w:val="24"/>
          <w:lang w:val="ru-RU"/>
        </w:rPr>
        <w:t>«</w:t>
      </w:r>
      <w:r w:rsidR="00861980" w:rsidRPr="00861980">
        <w:rPr>
          <w:rFonts w:ascii="Times New Roman" w:eastAsia="MS Mincho" w:hAnsi="Times New Roman" w:cs="Times New Roman"/>
          <w:lang w:val="uk-UA"/>
        </w:rPr>
        <w:t>1.</w:t>
      </w:r>
      <w:r w:rsidR="00861980" w:rsidRPr="00861980">
        <w:rPr>
          <w:rFonts w:ascii="Times New Roman" w:eastAsia="MS Mincho" w:hAnsi="Times New Roman" w:cs="Times New Roman"/>
          <w:lang w:val="uk-UA"/>
        </w:rPr>
        <w:tab/>
      </w:r>
      <w:r w:rsidR="00861980" w:rsidRPr="00861980">
        <w:rPr>
          <w:rFonts w:ascii="Times New Roman" w:eastAsia="MS Mincho" w:hAnsi="Times New Roman" w:cs="Times New Roman"/>
          <w:i/>
          <w:lang w:val="uk-UA"/>
        </w:rPr>
        <w:t>Оголошує</w:t>
      </w:r>
      <w:r w:rsidR="00861980" w:rsidRPr="00861980">
        <w:rPr>
          <w:rFonts w:ascii="Times New Roman" w:eastAsia="MS Mincho" w:hAnsi="Times New Roman" w:cs="Times New Roman"/>
          <w:lang w:val="uk-UA"/>
        </w:rPr>
        <w:t xml:space="preserve"> заяву прийнятною;</w:t>
      </w:r>
    </w:p>
    <w:p w:rsidR="00861980" w:rsidRPr="00861980" w:rsidRDefault="00861980" w:rsidP="003569C3">
      <w:pPr>
        <w:pStyle w:val="JuList"/>
        <w:rPr>
          <w:rFonts w:ascii="Times New Roman" w:eastAsia="MS Mincho" w:hAnsi="Times New Roman" w:cs="Times New Roman"/>
          <w:lang w:val="uk-UA"/>
        </w:rPr>
      </w:pPr>
      <w:r w:rsidRPr="00861980">
        <w:rPr>
          <w:rFonts w:ascii="Times New Roman" w:eastAsia="MS Mincho" w:hAnsi="Times New Roman" w:cs="Times New Roman"/>
          <w:lang w:val="uk-UA"/>
        </w:rPr>
        <w:t>2.</w:t>
      </w:r>
      <w:r w:rsidRPr="00861980">
        <w:rPr>
          <w:rFonts w:ascii="Times New Roman" w:eastAsia="MS Mincho" w:hAnsi="Times New Roman" w:cs="Times New Roman"/>
          <w:lang w:val="uk-UA"/>
        </w:rPr>
        <w:tab/>
      </w:r>
      <w:r w:rsidRPr="00861980">
        <w:rPr>
          <w:rFonts w:ascii="Times New Roman" w:eastAsia="MS Mincho" w:hAnsi="Times New Roman" w:cs="Times New Roman"/>
          <w:i/>
          <w:lang w:val="uk-UA"/>
        </w:rPr>
        <w:t>Постановляє,</w:t>
      </w:r>
      <w:r w:rsidRPr="00861980">
        <w:rPr>
          <w:rFonts w:ascii="Times New Roman" w:eastAsia="MS Mincho" w:hAnsi="Times New Roman" w:cs="Times New Roman"/>
          <w:lang w:val="uk-UA"/>
        </w:rPr>
        <w:t xml:space="preserve"> що ця скарга свідчить про порушення пункту 3 статті 5 Конвенції щодо надмірної тривалості досудового тримання під вартою;</w:t>
      </w:r>
    </w:p>
    <w:p w:rsidR="00861980" w:rsidRPr="00861980" w:rsidRDefault="00861980" w:rsidP="00861980">
      <w:pPr>
        <w:pStyle w:val="JuList"/>
        <w:rPr>
          <w:rFonts w:ascii="Times New Roman" w:eastAsia="MS Mincho" w:hAnsi="Times New Roman" w:cs="Times New Roman"/>
          <w:lang w:val="uk-UA"/>
        </w:rPr>
      </w:pPr>
      <w:r w:rsidRPr="00861980">
        <w:rPr>
          <w:rFonts w:ascii="Times New Roman" w:eastAsia="MS Mincho" w:hAnsi="Times New Roman" w:cs="Times New Roman"/>
          <w:lang w:val="uk-UA"/>
        </w:rPr>
        <w:t>3.</w:t>
      </w:r>
      <w:r w:rsidRPr="00861980">
        <w:rPr>
          <w:rFonts w:ascii="Times New Roman" w:eastAsia="MS Mincho" w:hAnsi="Times New Roman" w:cs="Times New Roman"/>
          <w:lang w:val="uk-UA"/>
        </w:rPr>
        <w:tab/>
      </w:r>
      <w:r w:rsidRPr="00861980">
        <w:rPr>
          <w:rFonts w:ascii="Times New Roman" w:eastAsia="MS Mincho" w:hAnsi="Times New Roman" w:cs="Times New Roman"/>
          <w:i/>
          <w:lang w:val="uk-UA"/>
        </w:rPr>
        <w:t>Постановляє,</w:t>
      </w:r>
      <w:r w:rsidRPr="00861980">
        <w:rPr>
          <w:rFonts w:ascii="Times New Roman" w:eastAsia="MS Mincho" w:hAnsi="Times New Roman" w:cs="Times New Roman"/>
          <w:lang w:val="uk-UA"/>
        </w:rPr>
        <w:t xml:space="preserve"> що було порушен</w:t>
      </w:r>
      <w:r w:rsidR="00CD2AA8">
        <w:rPr>
          <w:rFonts w:ascii="Times New Roman" w:eastAsia="MS Mincho" w:hAnsi="Times New Roman" w:cs="Times New Roman"/>
          <w:lang w:val="uk-UA"/>
        </w:rPr>
        <w:t>о</w:t>
      </w:r>
      <w:r w:rsidRPr="00861980">
        <w:rPr>
          <w:rFonts w:ascii="Times New Roman" w:eastAsia="MS Mincho" w:hAnsi="Times New Roman" w:cs="Times New Roman"/>
          <w:lang w:val="uk-UA"/>
        </w:rPr>
        <w:t xml:space="preserve"> Конвенці</w:t>
      </w:r>
      <w:r w:rsidR="00CD2AA8">
        <w:rPr>
          <w:rFonts w:ascii="Times New Roman" w:eastAsia="MS Mincho" w:hAnsi="Times New Roman" w:cs="Times New Roman"/>
          <w:lang w:val="uk-UA"/>
        </w:rPr>
        <w:t>ю</w:t>
      </w:r>
      <w:r w:rsidRPr="00861980">
        <w:rPr>
          <w:rFonts w:ascii="Times New Roman" w:eastAsia="MS Mincho" w:hAnsi="Times New Roman" w:cs="Times New Roman"/>
          <w:lang w:val="uk-UA"/>
        </w:rPr>
        <w:t xml:space="preserve"> щодо інших скарг, поданих </w:t>
      </w:r>
      <w:r w:rsidR="00CD2AA8">
        <w:rPr>
          <w:rFonts w:ascii="Times New Roman" w:eastAsia="MS Mincho" w:hAnsi="Times New Roman" w:cs="Times New Roman"/>
          <w:lang w:val="uk-UA"/>
        </w:rPr>
        <w:t>за усталеною практикою</w:t>
      </w:r>
      <w:r w:rsidRPr="00861980">
        <w:rPr>
          <w:rFonts w:ascii="Times New Roman" w:eastAsia="MS Mincho" w:hAnsi="Times New Roman" w:cs="Times New Roman"/>
          <w:lang w:val="uk-UA"/>
        </w:rPr>
        <w:t xml:space="preserve"> Суду (див. таблицю у додатку);</w:t>
      </w:r>
    </w:p>
    <w:p w:rsidR="00861980" w:rsidRPr="00861980" w:rsidRDefault="00861980" w:rsidP="00861980">
      <w:pPr>
        <w:pStyle w:val="JuList"/>
        <w:rPr>
          <w:rFonts w:ascii="Times New Roman" w:eastAsia="MS Mincho" w:hAnsi="Times New Roman" w:cs="Times New Roman"/>
          <w:lang w:val="uk-UA"/>
        </w:rPr>
      </w:pPr>
      <w:r w:rsidRPr="00861980">
        <w:rPr>
          <w:rFonts w:ascii="Times New Roman" w:eastAsia="MS Mincho" w:hAnsi="Times New Roman" w:cs="Times New Roman"/>
          <w:lang w:val="uk-UA"/>
        </w:rPr>
        <w:t>4.</w:t>
      </w:r>
      <w:r w:rsidRPr="00861980">
        <w:rPr>
          <w:rFonts w:ascii="Times New Roman" w:eastAsia="MS Mincho" w:hAnsi="Times New Roman" w:cs="Times New Roman"/>
          <w:lang w:val="uk-UA"/>
        </w:rPr>
        <w:tab/>
      </w:r>
      <w:r w:rsidRPr="00861980">
        <w:rPr>
          <w:rFonts w:ascii="Times New Roman" w:eastAsia="MS Mincho" w:hAnsi="Times New Roman" w:cs="Times New Roman"/>
          <w:i/>
          <w:lang w:val="uk-UA"/>
        </w:rPr>
        <w:t>Постановляє,</w:t>
      </w:r>
      <w:r w:rsidRPr="00861980">
        <w:rPr>
          <w:rFonts w:ascii="Times New Roman" w:eastAsia="MS Mincho" w:hAnsi="Times New Roman" w:cs="Times New Roman"/>
          <w:lang w:val="uk-UA"/>
        </w:rPr>
        <w:t xml:space="preserve"> що:</w:t>
      </w:r>
    </w:p>
    <w:p w:rsidR="00861980" w:rsidRPr="00861980" w:rsidRDefault="00861980" w:rsidP="00861980">
      <w:pPr>
        <w:pStyle w:val="JuList"/>
        <w:rPr>
          <w:rFonts w:ascii="Times New Roman" w:eastAsia="MS Mincho" w:hAnsi="Times New Roman" w:cs="Times New Roman"/>
          <w:lang w:val="uk-UA"/>
        </w:rPr>
      </w:pPr>
      <w:r>
        <w:rPr>
          <w:rFonts w:ascii="Times New Roman" w:eastAsia="MS Mincho" w:hAnsi="Times New Roman" w:cs="Times New Roman"/>
          <w:lang w:val="uk-UA"/>
        </w:rPr>
        <w:t>(a)</w:t>
      </w:r>
      <w:r>
        <w:rPr>
          <w:rFonts w:ascii="Times New Roman" w:eastAsia="MS Mincho" w:hAnsi="Times New Roman" w:cs="Times New Roman"/>
          <w:lang w:val="uk-UA"/>
        </w:rPr>
        <w:tab/>
      </w:r>
      <w:r w:rsidRPr="00861980">
        <w:rPr>
          <w:rFonts w:ascii="Times New Roman" w:eastAsia="MS Mincho" w:hAnsi="Times New Roman" w:cs="Times New Roman"/>
          <w:lang w:val="uk-UA"/>
        </w:rPr>
        <w:t>упродовж трьох місяців держава-відповідач повинна сплатити заявник</w:t>
      </w:r>
      <w:r w:rsidR="00CD2AA8">
        <w:rPr>
          <w:rFonts w:ascii="Times New Roman" w:eastAsia="MS Mincho" w:hAnsi="Times New Roman" w:cs="Times New Roman"/>
          <w:lang w:val="uk-UA"/>
        </w:rPr>
        <w:t>у суму, зазначену у таблиці в додатку; ця сума має бути конвертована</w:t>
      </w:r>
      <w:r w:rsidRPr="00861980">
        <w:rPr>
          <w:rFonts w:ascii="Times New Roman" w:eastAsia="MS Mincho" w:hAnsi="Times New Roman" w:cs="Times New Roman"/>
          <w:lang w:val="uk-UA"/>
        </w:rPr>
        <w:t xml:space="preserve"> в національну валюту держави-відповідача за курсом на день здійснення платежу;</w:t>
      </w:r>
    </w:p>
    <w:p w:rsidR="00AF66AF" w:rsidRPr="0044168C" w:rsidRDefault="00861980" w:rsidP="0044168C">
      <w:pPr>
        <w:pStyle w:val="JuList"/>
        <w:rPr>
          <w:rFonts w:ascii="Times New Roman" w:hAnsi="Times New Roman" w:cs="Times New Roman"/>
          <w:lang w:val="uk-UA"/>
        </w:rPr>
      </w:pPr>
      <w:r>
        <w:rPr>
          <w:rFonts w:ascii="Times New Roman" w:eastAsia="MS Mincho" w:hAnsi="Times New Roman" w:cs="Times New Roman"/>
          <w:lang w:val="uk-UA"/>
        </w:rPr>
        <w:t>(b)</w:t>
      </w:r>
      <w:r>
        <w:rPr>
          <w:rFonts w:ascii="Times New Roman" w:eastAsia="MS Mincho" w:hAnsi="Times New Roman" w:cs="Times New Roman"/>
          <w:lang w:val="uk-UA"/>
        </w:rPr>
        <w:tab/>
      </w:r>
      <w:r w:rsidRPr="00861980">
        <w:rPr>
          <w:rFonts w:ascii="Times New Roman" w:eastAsia="MS Mincho" w:hAnsi="Times New Roman" w:cs="Times New Roman"/>
          <w:lang w:val="uk-UA"/>
        </w:rPr>
        <w:t>із закінченням зазначеного тримісячного строку до остаточного розрахунку на зазначен</w:t>
      </w:r>
      <w:r w:rsidR="00E84216">
        <w:rPr>
          <w:rFonts w:ascii="Times New Roman" w:eastAsia="MS Mincho" w:hAnsi="Times New Roman" w:cs="Times New Roman"/>
          <w:lang w:val="uk-UA"/>
        </w:rPr>
        <w:t>у</w:t>
      </w:r>
      <w:r w:rsidRPr="00861980">
        <w:rPr>
          <w:rFonts w:ascii="Times New Roman" w:eastAsia="MS Mincho" w:hAnsi="Times New Roman" w:cs="Times New Roman"/>
          <w:lang w:val="uk-UA"/>
        </w:rPr>
        <w:t xml:space="preserve"> сум</w:t>
      </w:r>
      <w:r w:rsidR="00E84216">
        <w:rPr>
          <w:rFonts w:ascii="Times New Roman" w:eastAsia="MS Mincho" w:hAnsi="Times New Roman" w:cs="Times New Roman"/>
          <w:lang w:val="uk-UA"/>
        </w:rPr>
        <w:t>у</w:t>
      </w:r>
      <w:r w:rsidRPr="00861980">
        <w:rPr>
          <w:rFonts w:ascii="Times New Roman" w:eastAsia="MS Mincho" w:hAnsi="Times New Roman" w:cs="Times New Roman"/>
          <w:lang w:val="uk-UA"/>
        </w:rPr>
        <w:t xml:space="preserve"> нараховуватиметься простий відсоток </w:t>
      </w:r>
      <w:r w:rsidRPr="0044168C">
        <w:rPr>
          <w:rFonts w:ascii="Times New Roman" w:eastAsia="MS Mincho" w:hAnsi="Times New Roman" w:cs="Times New Roman"/>
          <w:i/>
          <w:lang w:val="uk-UA"/>
        </w:rPr>
        <w:t>(</w:t>
      </w:r>
      <w:proofErr w:type="spellStart"/>
      <w:r w:rsidRPr="0044168C">
        <w:rPr>
          <w:rFonts w:ascii="Times New Roman" w:eastAsia="MS Mincho" w:hAnsi="Times New Roman" w:cs="Times New Roman"/>
          <w:i/>
          <w:lang w:val="uk-UA"/>
        </w:rPr>
        <w:t>simpleinterest</w:t>
      </w:r>
      <w:proofErr w:type="spellEnd"/>
      <w:r w:rsidRPr="0044168C">
        <w:rPr>
          <w:rFonts w:ascii="Times New Roman" w:eastAsia="MS Mincho" w:hAnsi="Times New Roman" w:cs="Times New Roman"/>
          <w:i/>
          <w:lang w:val="uk-UA"/>
        </w:rPr>
        <w:t>)</w:t>
      </w:r>
      <w:r w:rsidRPr="00861980">
        <w:rPr>
          <w:rFonts w:ascii="Times New Roman" w:eastAsia="MS Mincho" w:hAnsi="Times New Roman" w:cs="Times New Roman"/>
          <w:lang w:val="uk-UA"/>
        </w:rPr>
        <w:t xml:space="preserve"> у розмірі граничної позичкової ставки Європейського центрального банку, яка діятиме в період несплати, до якої має бути додано три відсоткові пункти.</w:t>
      </w:r>
      <w:r w:rsidR="009F3B50" w:rsidRPr="00861980">
        <w:rPr>
          <w:rFonts w:ascii="Times New Roman" w:eastAsia="MS Mincho" w:hAnsi="Times New Roman" w:cs="Times New Roman"/>
          <w:lang w:val="uk-UA"/>
        </w:rPr>
        <w:t>»</w:t>
      </w:r>
    </w:p>
    <w:sectPr w:rsidR="00AF66AF" w:rsidRPr="0044168C" w:rsidSect="009F3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3B50"/>
    <w:rsid w:val="0018091D"/>
    <w:rsid w:val="001A0666"/>
    <w:rsid w:val="002562B6"/>
    <w:rsid w:val="0034237B"/>
    <w:rsid w:val="003569C3"/>
    <w:rsid w:val="003E43F9"/>
    <w:rsid w:val="00404E03"/>
    <w:rsid w:val="0044168C"/>
    <w:rsid w:val="00861980"/>
    <w:rsid w:val="009F3B50"/>
    <w:rsid w:val="00AF66AF"/>
    <w:rsid w:val="00BE243D"/>
    <w:rsid w:val="00C62400"/>
    <w:rsid w:val="00CD2AA8"/>
    <w:rsid w:val="00E84216"/>
    <w:rsid w:val="00FB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5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HRPara">
    <w:name w:val="ECHR_Para"/>
    <w:aliases w:val="Ju_Para,Para,Left,First line:  0 cm,First line:  0 cm Знак,Ju_Para Знак,Left Знак Знак,First line:  0 cm Знак Знак Знак,Left Знак,N_Para"/>
    <w:basedOn w:val="a"/>
    <w:link w:val="JuParaCar"/>
    <w:qFormat/>
    <w:rsid w:val="009F3B50"/>
    <w:pPr>
      <w:spacing w:after="0" w:line="240" w:lineRule="auto"/>
      <w:ind w:firstLine="284"/>
      <w:jc w:val="both"/>
    </w:pPr>
    <w:rPr>
      <w:sz w:val="24"/>
      <w:lang w:val="en-US" w:eastAsia="en-US"/>
    </w:rPr>
  </w:style>
  <w:style w:type="character" w:customStyle="1" w:styleId="JuParaCar">
    <w:name w:val="Ju_Para Car"/>
    <w:link w:val="ECHRPara"/>
    <w:rsid w:val="009F3B50"/>
    <w:rPr>
      <w:rFonts w:eastAsiaTheme="minorEastAsia"/>
      <w:sz w:val="24"/>
      <w:lang w:val="en-US"/>
    </w:rPr>
  </w:style>
  <w:style w:type="paragraph" w:customStyle="1" w:styleId="JuList">
    <w:name w:val="Ju_List"/>
    <w:basedOn w:val="a"/>
    <w:uiPriority w:val="28"/>
    <w:qFormat/>
    <w:rsid w:val="009F3B50"/>
    <w:pPr>
      <w:spacing w:after="0" w:line="240" w:lineRule="auto"/>
      <w:ind w:left="340" w:hanging="340"/>
      <w:jc w:val="both"/>
    </w:pPr>
    <w:rPr>
      <w:sz w:val="24"/>
      <w:lang w:val="en-US" w:eastAsia="en-US"/>
    </w:rPr>
  </w:style>
  <w:style w:type="paragraph" w:customStyle="1" w:styleId="ECHRTitle1">
    <w:name w:val="ECHR_Title_1"/>
    <w:aliases w:val="Ju_H_Head"/>
    <w:basedOn w:val="a"/>
    <w:next w:val="ECHRPara"/>
    <w:uiPriority w:val="18"/>
    <w:qFormat/>
    <w:rsid w:val="009F3B50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 w:cs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Ящукевич (RMJ-HP247V2 - t.yaschyukevych)</dc:creator>
  <cp:lastModifiedBy>Пользователь Windows</cp:lastModifiedBy>
  <cp:revision>2</cp:revision>
  <cp:lastPrinted>2019-07-15T08:51:00Z</cp:lastPrinted>
  <dcterms:created xsi:type="dcterms:W3CDTF">2020-01-16T09:48:00Z</dcterms:created>
  <dcterms:modified xsi:type="dcterms:W3CDTF">2020-01-16T09:48:00Z</dcterms:modified>
</cp:coreProperties>
</file>