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93" w:rsidRPr="00236E2C" w:rsidRDefault="00642193" w:rsidP="0049443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642193" w:rsidRPr="0094141C" w:rsidRDefault="00642193" w:rsidP="006505F7">
      <w:pPr>
        <w:pStyle w:val="rvps2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0506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проекту постанови Кабінету Міністрів України </w:t>
      </w:r>
      <w:r>
        <w:rPr>
          <w:rStyle w:val="rvts23"/>
          <w:b/>
          <w:bCs/>
          <w:color w:val="000000"/>
          <w:sz w:val="28"/>
          <w:szCs w:val="28"/>
        </w:rPr>
        <w:t xml:space="preserve">«Про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</w:rPr>
        <w:t>внесення зміни до</w:t>
      </w:r>
      <w:r w:rsidRPr="0094141C">
        <w:rPr>
          <w:rStyle w:val="rvts23"/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</w:rPr>
        <w:t>переліку</w:t>
      </w:r>
      <w:r w:rsidRPr="00050688">
        <w:rPr>
          <w:b/>
          <w:sz w:val="28"/>
          <w:szCs w:val="28"/>
        </w:rPr>
        <w:t xml:space="preserve">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</w:rPr>
        <w:t>органів державного</w:t>
      </w:r>
      <w:r>
        <w:rPr>
          <w:rStyle w:val="rvts23"/>
          <w:b/>
          <w:bCs/>
          <w:color w:val="000000"/>
          <w:sz w:val="28"/>
          <w:szCs w:val="28"/>
        </w:rPr>
        <w:t xml:space="preserve">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</w:rPr>
        <w:t xml:space="preserve">нагляду (контролю), на які не поширюється дія Закону України </w:t>
      </w:r>
      <w:r>
        <w:rPr>
          <w:rStyle w:val="rvts23"/>
          <w:b/>
          <w:bCs/>
          <w:color w:val="000000"/>
          <w:sz w:val="28"/>
          <w:szCs w:val="28"/>
        </w:rPr>
        <w:t>«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</w:rPr>
        <w:t>Про тимчасові особливості здійснення заходів державного нагляду (контролю) у сфері господарської діяльності</w:t>
      </w:r>
      <w:r>
        <w:rPr>
          <w:rStyle w:val="rvts23"/>
          <w:b/>
          <w:bCs/>
          <w:color w:val="000000"/>
          <w:sz w:val="28"/>
          <w:szCs w:val="28"/>
        </w:rPr>
        <w:t>»</w:t>
      </w:r>
    </w:p>
    <w:p w:rsidR="00642193" w:rsidRDefault="00642193" w:rsidP="00177F55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2193" w:rsidRDefault="00642193" w:rsidP="00177F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5F7">
        <w:rPr>
          <w:rFonts w:ascii="Times New Roman" w:hAnsi="Times New Roman"/>
          <w:sz w:val="28"/>
          <w:szCs w:val="28"/>
        </w:rPr>
        <w:t>І. Визначення проблеми</w:t>
      </w:r>
    </w:p>
    <w:p w:rsidR="00642193" w:rsidRPr="00177F55" w:rsidRDefault="00642193" w:rsidP="00177F5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42193" w:rsidRDefault="00642193" w:rsidP="00177F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1033">
        <w:rPr>
          <w:rFonts w:ascii="Times New Roman" w:hAnsi="Times New Roman"/>
          <w:sz w:val="28"/>
          <w:szCs w:val="28"/>
        </w:rPr>
        <w:t xml:space="preserve">Проект постанови Кабінету Міністрів України </w:t>
      </w:r>
      <w:r w:rsidRPr="00EF1033">
        <w:rPr>
          <w:rStyle w:val="rvts23"/>
          <w:rFonts w:ascii="Times New Roman" w:hAnsi="Times New Roman"/>
          <w:bCs/>
          <w:sz w:val="28"/>
          <w:szCs w:val="28"/>
        </w:rPr>
        <w:t>«Про внесення зміни до переліку</w:t>
      </w:r>
      <w:r w:rsidRPr="00EF1033">
        <w:rPr>
          <w:rFonts w:ascii="Times New Roman" w:hAnsi="Times New Roman"/>
          <w:sz w:val="28"/>
          <w:szCs w:val="28"/>
        </w:rPr>
        <w:t xml:space="preserve"> </w:t>
      </w:r>
      <w:r w:rsidRPr="00EF1033">
        <w:rPr>
          <w:rStyle w:val="rvts23"/>
          <w:rFonts w:ascii="Times New Roman" w:hAnsi="Times New Roman"/>
          <w:bCs/>
          <w:sz w:val="28"/>
          <w:szCs w:val="28"/>
        </w:rPr>
        <w:t xml:space="preserve">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 </w:t>
      </w:r>
      <w:r w:rsidRPr="00EF1033">
        <w:rPr>
          <w:rFonts w:ascii="Times New Roman" w:hAnsi="Times New Roman"/>
          <w:sz w:val="28"/>
          <w:szCs w:val="28"/>
        </w:rPr>
        <w:t xml:space="preserve">(далі – проект акта) розроблено Міністерством внутрішніх справ України 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 метою </w:t>
      </w:r>
      <w:r w:rsidRPr="000557EC">
        <w:rPr>
          <w:rFonts w:ascii="Times New Roman" w:hAnsi="Times New Roman"/>
          <w:sz w:val="28"/>
          <w:szCs w:val="28"/>
        </w:rPr>
        <w:t xml:space="preserve">орієнтованості державного нагляду (контролю) на запобігання правопорушенням у сфері охоронної діяльності та у 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</w:rPr>
        <w:t>зв’язку із</w:t>
      </w:r>
      <w:r w:rsidRPr="00EF1033">
        <w:rPr>
          <w:rFonts w:ascii="Times New Roman" w:hAnsi="Times New Roman"/>
          <w:sz w:val="28"/>
          <w:szCs w:val="28"/>
        </w:rPr>
        <w:t xml:space="preserve"> </w:t>
      </w:r>
      <w:r w:rsidRPr="00EF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встановленими системними порушеннями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ліцензіатами </w:t>
      </w:r>
      <w:r w:rsidRPr="00EF1033">
        <w:rPr>
          <w:rFonts w:ascii="Times New Roman" w:hAnsi="Times New Roman"/>
          <w:sz w:val="28"/>
          <w:szCs w:val="28"/>
          <w:bdr w:val="none" w:sz="0" w:space="0" w:color="auto" w:frame="1"/>
        </w:rPr>
        <w:t>основни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х</w:t>
      </w:r>
      <w:r w:rsidRPr="00EF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принцип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ів</w:t>
      </w:r>
      <w:r w:rsidRPr="00EF1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F1033">
        <w:rPr>
          <w:rFonts w:ascii="Times New Roman" w:hAnsi="Times New Roman"/>
          <w:sz w:val="28"/>
          <w:szCs w:val="28"/>
        </w:rPr>
        <w:t xml:space="preserve">законів України «Про основні засади </w:t>
      </w:r>
      <w:r w:rsidRPr="003A47E5">
        <w:rPr>
          <w:rFonts w:ascii="Times New Roman" w:hAnsi="Times New Roman"/>
          <w:sz w:val="28"/>
          <w:szCs w:val="28"/>
        </w:rPr>
        <w:t>державного нагляду (контролю) у сфері господарської діяльно</w:t>
      </w:r>
      <w:r>
        <w:rPr>
          <w:rFonts w:ascii="Times New Roman" w:hAnsi="Times New Roman"/>
          <w:sz w:val="28"/>
          <w:szCs w:val="28"/>
        </w:rPr>
        <w:t xml:space="preserve">сті», «Про охоронну діяльність», 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</w:rPr>
        <w:t>що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також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мають негативний вплив на життя та здоров’я людини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порушують її права та законні інтереси.  </w:t>
      </w:r>
    </w:p>
    <w:p w:rsidR="00642193" w:rsidRDefault="00642193" w:rsidP="008616B4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F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Розроблення проекту акта обумовлено необхідністю </w:t>
      </w:r>
      <w:r w:rsidRPr="003871AC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ення</w:t>
      </w:r>
      <w:r w:rsidRPr="003871A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</w:t>
      </w:r>
      <w:r w:rsidRPr="003871AC">
        <w:rPr>
          <w:rFonts w:ascii="Times New Roman" w:hAnsi="Times New Roman"/>
          <w:sz w:val="28"/>
          <w:szCs w:val="28"/>
        </w:rPr>
        <w:t xml:space="preserve">ереліку </w:t>
      </w:r>
      <w:r w:rsidRPr="00821F83">
        <w:rPr>
          <w:rStyle w:val="rvts23"/>
          <w:rFonts w:ascii="Times New Roman" w:hAnsi="Times New Roman"/>
          <w:bCs/>
          <w:color w:val="000000"/>
          <w:sz w:val="28"/>
          <w:szCs w:val="28"/>
        </w:rPr>
        <w:t>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E2B18">
        <w:rPr>
          <w:rFonts w:ascii="Times New Roman" w:hAnsi="Times New Roman"/>
          <w:sz w:val="28"/>
          <w:szCs w:val="28"/>
        </w:rPr>
        <w:t>затвердженого постановою Кабінету Міністрів України від 18 грудня 2017 р. № 1104,</w:t>
      </w:r>
      <w:r>
        <w:rPr>
          <w:sz w:val="28"/>
          <w:szCs w:val="28"/>
        </w:rPr>
        <w:t xml:space="preserve"> </w:t>
      </w:r>
      <w:r w:rsidRPr="00F4121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Міністерство внутрішніх справ</w:t>
      </w:r>
      <w:r w:rsidRPr="003871AC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>в</w:t>
      </w:r>
      <w:r w:rsidRPr="003871AC">
        <w:rPr>
          <w:rFonts w:ascii="Times New Roman" w:hAnsi="Times New Roman"/>
          <w:sz w:val="28"/>
          <w:szCs w:val="28"/>
        </w:rPr>
        <w:t xml:space="preserve"> частині </w:t>
      </w:r>
      <w:r w:rsidRPr="000221C3">
        <w:rPr>
          <w:rFonts w:ascii="Times New Roman" w:hAnsi="Times New Roman"/>
          <w:color w:val="000000"/>
          <w:sz w:val="28"/>
          <w:szCs w:val="28"/>
        </w:rPr>
        <w:t>здійснення державного нагляду (контролю) стосовно суб’єктів охоронно</w:t>
      </w:r>
      <w:r>
        <w:rPr>
          <w:rFonts w:ascii="Times New Roman" w:hAnsi="Times New Roman"/>
          <w:color w:val="000000"/>
          <w:sz w:val="28"/>
          <w:szCs w:val="28"/>
        </w:rPr>
        <w:t>ї діяльності, працівниками яких</w:t>
      </w:r>
      <w:r w:rsidRPr="000221C3">
        <w:rPr>
          <w:rFonts w:ascii="Times New Roman" w:hAnsi="Times New Roman"/>
          <w:color w:val="000000"/>
          <w:sz w:val="28"/>
          <w:szCs w:val="28"/>
        </w:rPr>
        <w:t xml:space="preserve"> з використанням наданих їм повноважень учинено протиправні діяння, відомості про які внесено до Єдиного  реєстру досудових розслідувань</w:t>
      </w:r>
      <w:r w:rsidRPr="003871AC">
        <w:rPr>
          <w:rFonts w:ascii="Times New Roman" w:hAnsi="Times New Roman"/>
          <w:sz w:val="28"/>
          <w:szCs w:val="28"/>
        </w:rPr>
        <w:t>.</w:t>
      </w:r>
    </w:p>
    <w:p w:rsidR="00642193" w:rsidRPr="00177F55" w:rsidRDefault="00642193" w:rsidP="008616B4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193" w:rsidRDefault="00642193" w:rsidP="00861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>Основні групи (підгрупи), на які проблема справляє вплив:</w:t>
      </w:r>
    </w:p>
    <w:p w:rsidR="00642193" w:rsidRPr="008616B4" w:rsidRDefault="00642193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1"/>
        <w:gridCol w:w="1634"/>
        <w:gridCol w:w="2038"/>
      </w:tblGrid>
      <w:tr w:rsidR="00642193" w:rsidRPr="00236E2C" w:rsidTr="00E751AF">
        <w:tc>
          <w:tcPr>
            <w:tcW w:w="3092" w:type="pct"/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Групи (підгрупи)</w:t>
            </w:r>
          </w:p>
        </w:tc>
        <w:tc>
          <w:tcPr>
            <w:tcW w:w="849" w:type="pct"/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059" w:type="pct"/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</w:p>
        </w:tc>
      </w:tr>
      <w:tr w:rsidR="00642193" w:rsidRPr="00236E2C" w:rsidTr="00E751AF">
        <w:tc>
          <w:tcPr>
            <w:tcW w:w="3092" w:type="pct"/>
          </w:tcPr>
          <w:p w:rsidR="00642193" w:rsidRPr="00C23719" w:rsidRDefault="00642193" w:rsidP="00E7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Громадяни</w:t>
            </w:r>
          </w:p>
        </w:tc>
        <w:tc>
          <w:tcPr>
            <w:tcW w:w="84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2193" w:rsidRPr="00236E2C" w:rsidTr="00E751AF">
        <w:tc>
          <w:tcPr>
            <w:tcW w:w="3092" w:type="pct"/>
          </w:tcPr>
          <w:p w:rsidR="00642193" w:rsidRPr="00C23719" w:rsidRDefault="00642193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84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193" w:rsidRPr="00236E2C" w:rsidTr="00E751AF">
        <w:tc>
          <w:tcPr>
            <w:tcW w:w="3092" w:type="pct"/>
          </w:tcPr>
          <w:p w:rsidR="00642193" w:rsidRPr="00C23719" w:rsidRDefault="00642193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Суб’єкти господарювання, </w:t>
            </w:r>
          </w:p>
        </w:tc>
        <w:tc>
          <w:tcPr>
            <w:tcW w:w="84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193" w:rsidRPr="00236E2C" w:rsidTr="00E751AF">
        <w:tc>
          <w:tcPr>
            <w:tcW w:w="3092" w:type="pct"/>
          </w:tcPr>
          <w:p w:rsidR="00642193" w:rsidRPr="00C23719" w:rsidRDefault="00642193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84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</w:tcPr>
          <w:p w:rsidR="00642193" w:rsidRPr="00236E2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193" w:rsidRPr="00177F55" w:rsidRDefault="00642193" w:rsidP="00C6365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42193" w:rsidRPr="00C6365B" w:rsidRDefault="00642193" w:rsidP="00C636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365B">
        <w:rPr>
          <w:rFonts w:ascii="Times New Roman" w:hAnsi="Times New Roman"/>
          <w:bCs/>
          <w:sz w:val="28"/>
          <w:szCs w:val="28"/>
        </w:rPr>
        <w:t xml:space="preserve">Проблема не може бути розв’язана за допомогою ринкових механізмів, оскільки відповідні механізми відсутні, її можливо розв’язати лише шляхом </w:t>
      </w:r>
      <w:r>
        <w:rPr>
          <w:rFonts w:ascii="Times New Roman" w:hAnsi="Times New Roman"/>
          <w:bCs/>
          <w:sz w:val="28"/>
          <w:szCs w:val="28"/>
        </w:rPr>
        <w:t>прийняття регуляторного акта</w:t>
      </w:r>
      <w:r w:rsidRPr="00C6365B">
        <w:rPr>
          <w:rFonts w:ascii="Times New Roman" w:hAnsi="Times New Roman"/>
          <w:bCs/>
          <w:sz w:val="28"/>
          <w:szCs w:val="28"/>
        </w:rPr>
        <w:t>.</w:t>
      </w:r>
    </w:p>
    <w:p w:rsidR="00642193" w:rsidRPr="0023605A" w:rsidRDefault="00642193" w:rsidP="00C636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605A">
        <w:rPr>
          <w:rFonts w:ascii="Times New Roman" w:hAnsi="Times New Roman"/>
          <w:bCs/>
          <w:sz w:val="28"/>
          <w:szCs w:val="28"/>
        </w:rPr>
        <w:t xml:space="preserve">Проблема не може бути розв’язана за допомогою чинних регуляторних актів, оскільки проект акта розроблений з метою </w:t>
      </w:r>
      <w:r w:rsidRPr="0023605A">
        <w:rPr>
          <w:rFonts w:ascii="Times New Roman" w:hAnsi="Times New Roman"/>
          <w:sz w:val="28"/>
          <w:szCs w:val="28"/>
        </w:rPr>
        <w:t xml:space="preserve">включення до </w:t>
      </w:r>
      <w:r>
        <w:rPr>
          <w:rFonts w:ascii="Times New Roman" w:hAnsi="Times New Roman"/>
          <w:sz w:val="28"/>
          <w:szCs w:val="28"/>
        </w:rPr>
        <w:t>п</w:t>
      </w:r>
      <w:r w:rsidRPr="003871AC">
        <w:rPr>
          <w:rFonts w:ascii="Times New Roman" w:hAnsi="Times New Roman"/>
          <w:sz w:val="28"/>
          <w:szCs w:val="28"/>
        </w:rPr>
        <w:t xml:space="preserve">ереліку </w:t>
      </w:r>
      <w:r w:rsidRPr="00821F83">
        <w:rPr>
          <w:rStyle w:val="rvts23"/>
          <w:rFonts w:ascii="Times New Roman" w:hAnsi="Times New Roman"/>
          <w:bCs/>
          <w:color w:val="000000"/>
          <w:sz w:val="28"/>
          <w:szCs w:val="28"/>
        </w:rPr>
        <w:t>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</w:rPr>
        <w:t>,</w:t>
      </w:r>
      <w:r w:rsidRPr="0023605A">
        <w:rPr>
          <w:rFonts w:ascii="Times New Roman" w:hAnsi="Times New Roman"/>
          <w:sz w:val="28"/>
          <w:szCs w:val="28"/>
        </w:rPr>
        <w:t xml:space="preserve"> Міністерств</w:t>
      </w:r>
      <w:r>
        <w:rPr>
          <w:rFonts w:ascii="Times New Roman" w:hAnsi="Times New Roman"/>
          <w:sz w:val="28"/>
          <w:szCs w:val="28"/>
        </w:rPr>
        <w:t>а</w:t>
      </w:r>
      <w:r w:rsidRPr="0023605A">
        <w:rPr>
          <w:rFonts w:ascii="Times New Roman" w:hAnsi="Times New Roman"/>
          <w:sz w:val="28"/>
          <w:szCs w:val="28"/>
        </w:rPr>
        <w:t xml:space="preserve"> внутрішніх справ як орган</w:t>
      </w:r>
      <w:r>
        <w:rPr>
          <w:rFonts w:ascii="Times New Roman" w:hAnsi="Times New Roman"/>
          <w:sz w:val="28"/>
          <w:szCs w:val="28"/>
        </w:rPr>
        <w:t>у</w:t>
      </w:r>
      <w:r w:rsidRPr="0023605A">
        <w:rPr>
          <w:rFonts w:ascii="Times New Roman" w:hAnsi="Times New Roman"/>
          <w:sz w:val="28"/>
          <w:szCs w:val="28"/>
        </w:rPr>
        <w:t xml:space="preserve"> державного нагляду (контролю) в частині заходів із здійснення державного нагляду (контролю) відносно суб’єктів охоронної діяльності, працівниками яких з використанням наданих їм повноважень учинено протиправні діяння, відомості про які внесено до Єдиного  реєстру досудових розслідувань</w:t>
      </w:r>
      <w:r w:rsidRPr="002360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42193" w:rsidRPr="002937A2" w:rsidRDefault="00642193" w:rsidP="0077644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42193" w:rsidRDefault="00642193" w:rsidP="00E2691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642193" w:rsidRPr="008616B4" w:rsidRDefault="00642193" w:rsidP="00E2691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42193" w:rsidRDefault="00642193" w:rsidP="0049443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236E2C">
        <w:rPr>
          <w:rFonts w:ascii="Times New Roman" w:hAnsi="Times New Roman"/>
          <w:sz w:val="28"/>
          <w:szCs w:val="28"/>
          <w:lang w:eastAsia="ru-RU"/>
        </w:rPr>
        <w:t>іл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236E2C">
        <w:rPr>
          <w:rFonts w:ascii="Times New Roman" w:hAnsi="Times New Roman"/>
          <w:sz w:val="28"/>
          <w:szCs w:val="28"/>
          <w:lang w:eastAsia="ru-RU"/>
        </w:rPr>
        <w:t xml:space="preserve"> державного регулювання запропонованого регуляторного акта є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42193" w:rsidRDefault="00642193" w:rsidP="0049443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виконання вимог законодавства;</w:t>
      </w:r>
    </w:p>
    <w:p w:rsidR="00642193" w:rsidRPr="0023605A" w:rsidRDefault="00642193" w:rsidP="00E2691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0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сприяння реалізації Стратегії реформування системи державного нагляду (контролю), схваленої </w:t>
      </w:r>
      <w:r w:rsidRPr="0023605A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розпорядженням Кабінету Міністрів України                  від 18 грудня 2017 року № 1020-р</w:t>
      </w:r>
      <w:r w:rsidRPr="002360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у частині </w:t>
      </w:r>
      <w:r w:rsidRPr="0023605A">
        <w:rPr>
          <w:rFonts w:ascii="Times New Roman" w:hAnsi="Times New Roman"/>
          <w:sz w:val="28"/>
          <w:szCs w:val="28"/>
          <w:shd w:val="clear" w:color="auto" w:fill="FFFFFF"/>
        </w:rPr>
        <w:t xml:space="preserve">переорієнтації державного нагляду (контролю) на запобігання порушенням вимог законодавства у сфері господарської діяльності, створенню сприятливого середовища для провадження господарської діяльності,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недопущення уникнення або спотворення конкуренції на внутрішньому ринку, </w:t>
      </w:r>
      <w:r w:rsidRPr="0023605A">
        <w:rPr>
          <w:rFonts w:ascii="Times New Roman" w:hAnsi="Times New Roman"/>
          <w:sz w:val="28"/>
          <w:szCs w:val="28"/>
          <w:shd w:val="clear" w:color="auto" w:fill="FFFFFF"/>
        </w:rPr>
        <w:t>збалансованого захисту інтересів громадян, суб’єктів господарювання та держави;</w:t>
      </w:r>
    </w:p>
    <w:p w:rsidR="00642193" w:rsidRPr="0023605A" w:rsidRDefault="00642193" w:rsidP="00F70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  <w:shd w:val="clear" w:color="auto" w:fill="FFFFFF"/>
        </w:rPr>
        <w:t xml:space="preserve">здійснення заходів державного нагляду (контролю) відносно більш ризикових суб’єктів охоронної діяльності, </w:t>
      </w:r>
      <w:r w:rsidRPr="00F70832">
        <w:rPr>
          <w:rFonts w:ascii="Times New Roman" w:hAnsi="Times New Roman"/>
          <w:sz w:val="28"/>
          <w:szCs w:val="28"/>
        </w:rPr>
        <w:t>працівниками яких, з використанням наданих їм повноважень, учинено протиправні дія</w:t>
      </w:r>
      <w:r w:rsidRPr="0023605A">
        <w:rPr>
          <w:rFonts w:ascii="Times New Roman" w:hAnsi="Times New Roman"/>
          <w:sz w:val="28"/>
          <w:szCs w:val="28"/>
        </w:rPr>
        <w:t>ння, відомості про які внесено до Єдиного  реєстру досудових розслідувань</w:t>
      </w:r>
      <w:r w:rsidRPr="002360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42193" w:rsidRPr="00236E2C" w:rsidRDefault="00642193" w:rsidP="00494435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42193" w:rsidRPr="00236E2C" w:rsidRDefault="00642193" w:rsidP="00A51F95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ІІІ. </w:t>
      </w:r>
      <w:r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642193" w:rsidRPr="008616B4" w:rsidRDefault="00642193" w:rsidP="00494435">
      <w:pPr>
        <w:pStyle w:val="AeiOaieaaeaec"/>
        <w:rPr>
          <w:b/>
          <w:color w:val="auto"/>
          <w:sz w:val="28"/>
          <w:szCs w:val="28"/>
          <w:lang w:val="uk-UA"/>
        </w:rPr>
      </w:pPr>
    </w:p>
    <w:p w:rsidR="00642193" w:rsidRDefault="00642193" w:rsidP="004944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642193" w:rsidRPr="00AE6152" w:rsidRDefault="00642193" w:rsidP="004944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7"/>
        <w:gridCol w:w="5971"/>
      </w:tblGrid>
      <w:tr w:rsidR="00642193" w:rsidRPr="00236E2C" w:rsidTr="00E751AF">
        <w:tc>
          <w:tcPr>
            <w:tcW w:w="19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642193" w:rsidRPr="00236E2C" w:rsidTr="00CE5F83">
        <w:trPr>
          <w:trHeight w:val="2168"/>
        </w:trPr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Default="00642193" w:rsidP="00E576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1:</w:t>
            </w:r>
          </w:p>
          <w:p w:rsidR="00642193" w:rsidRPr="00236E2C" w:rsidRDefault="00642193" w:rsidP="00E57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залишення існуючої на даний час ситуації без змін 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FE00C9" w:rsidRDefault="00642193" w:rsidP="008616B4">
            <w:pPr>
              <w:pStyle w:val="HTMLPreformatted"/>
              <w:shd w:val="clear" w:color="auto" w:fill="FFFFFF"/>
              <w:ind w:left="73" w:right="9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C9">
              <w:rPr>
                <w:rFonts w:ascii="Times New Roman" w:hAnsi="Times New Roman"/>
                <w:sz w:val="24"/>
                <w:szCs w:val="24"/>
                <w:lang w:eastAsia="ru-RU"/>
              </w:rPr>
              <w:t>У разі залишення ситуації без змін не забезпечуватиметься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виконання вимог законодавства у сфері провадження охоронної діяльності, </w:t>
            </w:r>
            <w:r w:rsidRPr="00FE00C9">
              <w:rPr>
                <w:rFonts w:ascii="Times New Roman" w:hAnsi="Times New Roman"/>
                <w:sz w:val="24"/>
                <w:szCs w:val="24"/>
              </w:rPr>
              <w:t xml:space="preserve">що у зв’язку із довготривалою відсутністю </w:t>
            </w:r>
            <w:r w:rsidRPr="00FE00C9">
              <w:rPr>
                <w:rFonts w:ascii="Times New Roman" w:hAnsi="Times New Roman"/>
                <w:sz w:val="24"/>
                <w:szCs w:val="24"/>
                <w:lang w:eastAsia="uk-UA"/>
              </w:rPr>
              <w:t>контролю з боку держави над суб’єктами охоронної діяльності,</w:t>
            </w:r>
            <w:r w:rsidRPr="00FE00C9">
              <w:rPr>
                <w:rFonts w:ascii="Times New Roman" w:hAnsi="Times New Roman"/>
                <w:sz w:val="24"/>
                <w:szCs w:val="24"/>
              </w:rPr>
              <w:t xml:space="preserve"> сприятиме збільшенню кількості правопорушень</w:t>
            </w:r>
            <w:r w:rsidRPr="00FE00C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що мають негативний вплив на права, законні інтереси, життя та здоров’я людини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  <w:r w:rsidRPr="00FE00C9">
              <w:rPr>
                <w:rFonts w:ascii="Times New Roman" w:hAnsi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E00C9">
              <w:rPr>
                <w:rFonts w:ascii="Times New Roman" w:hAnsi="Times New Roman"/>
                <w:sz w:val="24"/>
                <w:szCs w:val="24"/>
              </w:rPr>
              <w:t xml:space="preserve"> безпек</w:t>
            </w:r>
            <w:r>
              <w:rPr>
                <w:rFonts w:ascii="Times New Roman" w:hAnsi="Times New Roman"/>
                <w:sz w:val="24"/>
                <w:szCs w:val="24"/>
              </w:rPr>
              <w:t>у держави</w:t>
            </w:r>
            <w:r w:rsidRPr="00FE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193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Default="00642193" w:rsidP="00E576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2:</w:t>
            </w:r>
          </w:p>
          <w:p w:rsidR="00642193" w:rsidRPr="00236E2C" w:rsidRDefault="00642193" w:rsidP="00E57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прийняття нормативно-правового акта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E53143" w:rsidRDefault="00642193" w:rsidP="008616B4">
            <w:pPr>
              <w:spacing w:after="0" w:line="240" w:lineRule="auto"/>
              <w:ind w:left="73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разі прийняття нормативно-правового акта </w:t>
            </w:r>
            <w:r w:rsidRPr="00E53143">
              <w:rPr>
                <w:rFonts w:ascii="Times New Roman" w:hAnsi="Times New Roman"/>
                <w:color w:val="000000"/>
                <w:sz w:val="24"/>
                <w:szCs w:val="24"/>
              </w:rPr>
              <w:t>забезпечується досягнення визначених цілей державного нагляду (контролю)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E53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вирішення існуючої проблеми шляхом посилення контролю за діяльністю суб’єктів охоронної діяльності, працівниками яких з використанням наданих їм повноважень учинено протиправні діяння, відомості про які внесено до Єдиного  реєстру досудових розслідувань</w:t>
            </w:r>
          </w:p>
        </w:tc>
      </w:tr>
    </w:tbl>
    <w:p w:rsidR="00642193" w:rsidRDefault="00642193" w:rsidP="004944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42193" w:rsidRDefault="00642193" w:rsidP="004944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42193" w:rsidRDefault="00642193" w:rsidP="004944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81BB6">
        <w:rPr>
          <w:rFonts w:ascii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642193" w:rsidRPr="00AE6152" w:rsidRDefault="00642193" w:rsidP="004944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642193" w:rsidRPr="00D85292" w:rsidRDefault="00642193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292">
        <w:rPr>
          <w:rFonts w:ascii="Times New Roman" w:hAnsi="Times New Roman"/>
          <w:sz w:val="28"/>
          <w:szCs w:val="28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5"/>
        <w:gridCol w:w="3970"/>
        <w:gridCol w:w="2853"/>
      </w:tblGrid>
      <w:tr w:rsidR="00642193" w:rsidRPr="00236E2C" w:rsidTr="00331EC2">
        <w:tc>
          <w:tcPr>
            <w:tcW w:w="147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2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642193" w:rsidRPr="00236E2C" w:rsidTr="00331EC2">
        <w:tc>
          <w:tcPr>
            <w:tcW w:w="147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Default="00642193" w:rsidP="008616B4">
            <w:pPr>
              <w:spacing w:after="0" w:line="240" w:lineRule="auto"/>
              <w:ind w:left="20" w:righ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1:</w:t>
            </w:r>
          </w:p>
          <w:p w:rsidR="00642193" w:rsidRPr="00181BB6" w:rsidRDefault="00642193" w:rsidP="008616B4">
            <w:pPr>
              <w:spacing w:after="0" w:line="240" w:lineRule="auto"/>
              <w:ind w:left="2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залишення існуючої на даний час ситуації без змін</w:t>
            </w:r>
          </w:p>
        </w:tc>
        <w:tc>
          <w:tcPr>
            <w:tcW w:w="2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2A621D" w:rsidRDefault="00642193" w:rsidP="0077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181BB6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642193" w:rsidRPr="00236E2C" w:rsidTr="00331EC2">
        <w:tc>
          <w:tcPr>
            <w:tcW w:w="1475" w:type="pct"/>
          </w:tcPr>
          <w:p w:rsidR="00642193" w:rsidRDefault="00642193" w:rsidP="008616B4">
            <w:pPr>
              <w:spacing w:after="0" w:line="240" w:lineRule="auto"/>
              <w:ind w:left="20" w:righ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2:</w:t>
            </w:r>
          </w:p>
          <w:p w:rsidR="00642193" w:rsidRPr="007D09C9" w:rsidRDefault="00642193" w:rsidP="008616B4">
            <w:pPr>
              <w:spacing w:after="0" w:line="240" w:lineRule="auto"/>
              <w:ind w:left="20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прийняття нормативно-правового  акта</w:t>
            </w:r>
          </w:p>
        </w:tc>
        <w:tc>
          <w:tcPr>
            <w:tcW w:w="2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9B62B7" w:rsidRDefault="00642193" w:rsidP="008616B4">
            <w:pPr>
              <w:spacing w:after="0" w:line="240" w:lineRule="auto"/>
              <w:ind w:left="2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B7">
              <w:rPr>
                <w:rFonts w:ascii="Times New Roman" w:hAnsi="Times New Roman"/>
                <w:sz w:val="24"/>
                <w:szCs w:val="24"/>
              </w:rPr>
              <w:t xml:space="preserve">Забезпечення здійснення заходів державного нагляду (контролю) відносно </w:t>
            </w:r>
            <w:r>
              <w:rPr>
                <w:rFonts w:ascii="Times New Roman" w:hAnsi="Times New Roman"/>
                <w:sz w:val="24"/>
                <w:szCs w:val="24"/>
              </w:rPr>
              <w:t>ліцензіатів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 xml:space="preserve">, які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вчиняють правопорушення, 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 xml:space="preserve">перешкоджають  </w:t>
            </w:r>
            <w:r>
              <w:rPr>
                <w:rFonts w:ascii="Times New Roman" w:hAnsi="Times New Roman"/>
                <w:sz w:val="24"/>
                <w:szCs w:val="24"/>
              </w:rPr>
              <w:t>провадженню законної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 xml:space="preserve"> господарськ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 xml:space="preserve">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>завдають шкод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 xml:space="preserve"> національній безпеці держави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B62B7">
              <w:rPr>
                <w:rFonts w:ascii="Times New Roman" w:hAnsi="Times New Roman"/>
                <w:sz w:val="24"/>
                <w:szCs w:val="24"/>
                <w:lang w:eastAsia="ru-RU"/>
              </w:rPr>
              <w:t>спла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чують</w:t>
            </w:r>
            <w:r w:rsidRPr="009B6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6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внеск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6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загальнообов’язкове державне соціальне страхування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зв’язку з неукладанням 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>трудових договорів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>з працівниками</w:t>
            </w:r>
            <w:r>
              <w:rPr>
                <w:rFonts w:ascii="Times New Roman" w:hAnsi="Times New Roman"/>
                <w:sz w:val="24"/>
                <w:szCs w:val="24"/>
              </w:rPr>
              <w:t>, що залучаються до охоронної діяльності</w:t>
            </w:r>
            <w:r w:rsidRPr="009B6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Default="00642193" w:rsidP="006D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  <w:p w:rsidR="00642193" w:rsidRPr="00181BB6" w:rsidRDefault="00642193" w:rsidP="006D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193" w:rsidRPr="008616B4" w:rsidRDefault="00642193" w:rsidP="00494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193" w:rsidRPr="00D85292" w:rsidRDefault="00642193" w:rsidP="0035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292">
        <w:rPr>
          <w:rFonts w:ascii="Times New Roman" w:hAnsi="Times New Roman"/>
          <w:sz w:val="28"/>
          <w:szCs w:val="28"/>
        </w:rPr>
        <w:t>Оцінка впливу на сферу інтересів суб’єктів господарювання, що здійснюють охоронну діяльність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70"/>
        <w:gridCol w:w="1266"/>
        <w:gridCol w:w="1395"/>
        <w:gridCol w:w="1032"/>
        <w:gridCol w:w="1197"/>
        <w:gridCol w:w="964"/>
      </w:tblGrid>
      <w:tr w:rsidR="00642193" w:rsidRPr="00236E2C" w:rsidTr="0085768C">
        <w:tc>
          <w:tcPr>
            <w:tcW w:w="19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642193" w:rsidRPr="00236E2C" w:rsidTr="0085768C">
        <w:tc>
          <w:tcPr>
            <w:tcW w:w="19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C12465" w:rsidRDefault="00642193" w:rsidP="0085768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pacing w:val="-6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85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2C6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85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1F5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1F5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050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642193" w:rsidRPr="00236E2C" w:rsidTr="0085768C">
        <w:tc>
          <w:tcPr>
            <w:tcW w:w="19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C12465" w:rsidRDefault="00642193" w:rsidP="0019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z w:val="24"/>
                <w:szCs w:val="24"/>
              </w:rPr>
              <w:t xml:space="preserve">Питома вага групи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465">
              <w:rPr>
                <w:rFonts w:ascii="Times New Roman" w:hAnsi="Times New Roman"/>
                <w:sz w:val="24"/>
                <w:szCs w:val="24"/>
              </w:rPr>
              <w:t xml:space="preserve">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85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  <w:r w:rsidRPr="002C6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85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C6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C6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85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85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2C6FC4" w:rsidRDefault="00642193" w:rsidP="00857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F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642193" w:rsidRPr="00B934DC" w:rsidRDefault="00642193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3"/>
        <w:gridCol w:w="4899"/>
        <w:gridCol w:w="2112"/>
      </w:tblGrid>
      <w:tr w:rsidR="00642193" w:rsidRPr="00236E2C" w:rsidTr="00B934DC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2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642193" w:rsidRPr="00236E2C" w:rsidTr="00B934DC">
        <w:tc>
          <w:tcPr>
            <w:tcW w:w="1358" w:type="pct"/>
          </w:tcPr>
          <w:p w:rsidR="00642193" w:rsidRDefault="00642193" w:rsidP="008616B4">
            <w:pPr>
              <w:spacing w:after="0" w:line="240" w:lineRule="auto"/>
              <w:ind w:left="180"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1:</w:t>
            </w:r>
          </w:p>
          <w:p w:rsidR="00642193" w:rsidRPr="00B32408" w:rsidRDefault="00642193" w:rsidP="008616B4">
            <w:pPr>
              <w:spacing w:after="0" w:line="240" w:lineRule="auto"/>
              <w:ind w:left="180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залишення існуючої на даний час ситуації без змін</w:t>
            </w:r>
          </w:p>
        </w:tc>
        <w:tc>
          <w:tcPr>
            <w:tcW w:w="2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32408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0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32408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642193" w:rsidRPr="00236E2C" w:rsidTr="00B934DC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Default="00642193" w:rsidP="008616B4">
            <w:pPr>
              <w:spacing w:after="0" w:line="240" w:lineRule="auto"/>
              <w:ind w:left="80" w:right="1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2:</w:t>
            </w:r>
          </w:p>
          <w:p w:rsidR="00642193" w:rsidRPr="00B32408" w:rsidRDefault="00642193" w:rsidP="008616B4">
            <w:pPr>
              <w:spacing w:after="0" w:line="240" w:lineRule="auto"/>
              <w:ind w:left="80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прийняття нормативно-правового  акта</w:t>
            </w:r>
          </w:p>
        </w:tc>
        <w:tc>
          <w:tcPr>
            <w:tcW w:w="2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191596" w:rsidRDefault="00642193" w:rsidP="0013783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</w:pPr>
            <w:r w:rsidRPr="00191596">
              <w:rPr>
                <w:shd w:val="clear" w:color="auto" w:fill="FFFFFF"/>
              </w:rPr>
              <w:t>Створення сприятливого середовища для провадження господарської діяльності,</w:t>
            </w:r>
            <w:r>
              <w:rPr>
                <w:shd w:val="clear" w:color="auto" w:fill="FFFFFF"/>
              </w:rPr>
              <w:t xml:space="preserve"> </w:t>
            </w:r>
            <w:r w:rsidRPr="008259FF">
              <w:rPr>
                <w:shd w:val="clear" w:color="auto" w:fill="FFFFFF"/>
              </w:rPr>
              <w:t>недопущення уникнення або спотворення конкуренції на внутрішньому ринку,</w:t>
            </w:r>
            <w:r>
              <w:rPr>
                <w:shd w:val="clear" w:color="auto" w:fill="FFFFFF"/>
              </w:rPr>
              <w:t xml:space="preserve"> </w:t>
            </w:r>
            <w:r w:rsidRPr="00191596">
              <w:rPr>
                <w:shd w:val="clear" w:color="auto" w:fill="FFFFFF"/>
              </w:rPr>
              <w:t xml:space="preserve">оптимальний перерозподіл уваги органу державного нагляду (контролю) з менш ризикових суб’єктів охоронної діяльності на більш ризикові </w:t>
            </w:r>
          </w:p>
        </w:tc>
        <w:tc>
          <w:tcPr>
            <w:tcW w:w="10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32408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642193" w:rsidRDefault="00642193" w:rsidP="00A06A63">
      <w:pPr>
        <w:pStyle w:val="AeiOaieaaeaec"/>
        <w:rPr>
          <w:b/>
          <w:bCs/>
          <w:sz w:val="16"/>
          <w:szCs w:val="16"/>
          <w:shd w:val="clear" w:color="auto" w:fill="FFFFFF"/>
          <w:lang w:val="uk-UA"/>
        </w:rPr>
      </w:pPr>
    </w:p>
    <w:p w:rsidR="00642193" w:rsidRDefault="00642193" w:rsidP="00A06A63">
      <w:pPr>
        <w:pStyle w:val="AeiOaieaaeaec"/>
        <w:rPr>
          <w:b/>
          <w:bCs/>
          <w:sz w:val="16"/>
          <w:szCs w:val="16"/>
          <w:shd w:val="clear" w:color="auto" w:fill="FFFFFF"/>
          <w:lang w:val="uk-UA"/>
        </w:rPr>
      </w:pPr>
    </w:p>
    <w:p w:rsidR="00642193" w:rsidRDefault="00642193" w:rsidP="00A06A63">
      <w:pPr>
        <w:pStyle w:val="AeiOaieaaeaec"/>
        <w:rPr>
          <w:b/>
          <w:bCs/>
          <w:sz w:val="16"/>
          <w:szCs w:val="16"/>
          <w:shd w:val="clear" w:color="auto" w:fill="FFFFFF"/>
          <w:lang w:val="uk-UA"/>
        </w:rPr>
      </w:pPr>
    </w:p>
    <w:p w:rsidR="00642193" w:rsidRPr="00177F55" w:rsidRDefault="00642193" w:rsidP="00A06A63">
      <w:pPr>
        <w:pStyle w:val="AeiOaieaaeaec"/>
        <w:rPr>
          <w:b/>
          <w:bCs/>
          <w:sz w:val="16"/>
          <w:szCs w:val="16"/>
          <w:shd w:val="clear" w:color="auto" w:fill="FFFFFF"/>
          <w:lang w:val="uk-UA"/>
        </w:rPr>
      </w:pPr>
    </w:p>
    <w:p w:rsidR="00642193" w:rsidRDefault="00642193" w:rsidP="00A06A63">
      <w:pPr>
        <w:pStyle w:val="AeiOaieaaeaec"/>
        <w:rPr>
          <w:b/>
          <w:bCs/>
          <w:sz w:val="28"/>
          <w:szCs w:val="28"/>
          <w:shd w:val="clear" w:color="auto" w:fill="FFFFFF"/>
          <w:lang w:val="uk-UA"/>
        </w:rPr>
      </w:pPr>
      <w:r w:rsidRPr="00B934DC">
        <w:rPr>
          <w:b/>
          <w:bCs/>
          <w:sz w:val="28"/>
          <w:szCs w:val="28"/>
          <w:shd w:val="clear" w:color="auto" w:fill="FFFFFF"/>
          <w:lang w:val="uk-UA"/>
        </w:rPr>
        <w:t>IV. Вибір найбільш оптимального альтернативного способу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B934DC">
        <w:rPr>
          <w:b/>
          <w:bCs/>
          <w:sz w:val="28"/>
          <w:szCs w:val="28"/>
          <w:shd w:val="clear" w:color="auto" w:fill="FFFFFF"/>
          <w:lang w:val="uk-UA"/>
        </w:rPr>
        <w:t>досягнення цілей</w:t>
      </w:r>
    </w:p>
    <w:p w:rsidR="00642193" w:rsidRPr="00B934DC" w:rsidRDefault="00642193" w:rsidP="00B934DC">
      <w:pPr>
        <w:pStyle w:val="AeiOaieaaeaec"/>
        <w:ind w:firstLine="709"/>
        <w:rPr>
          <w:b/>
          <w:color w:val="auto"/>
          <w:sz w:val="16"/>
          <w:szCs w:val="16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20"/>
        <w:gridCol w:w="2878"/>
        <w:gridCol w:w="3220"/>
      </w:tblGrid>
      <w:tr w:rsidR="00642193" w:rsidRPr="00236E2C" w:rsidTr="00705ADC">
        <w:tc>
          <w:tcPr>
            <w:tcW w:w="18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6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934DC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DC">
              <w:rPr>
                <w:rFonts w:ascii="Times New Roman" w:hAnsi="Times New Roman"/>
                <w:b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642193" w:rsidRPr="00236E2C" w:rsidTr="004D03D0">
        <w:trPr>
          <w:trHeight w:val="1028"/>
        </w:trPr>
        <w:tc>
          <w:tcPr>
            <w:tcW w:w="18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Default="00642193" w:rsidP="00861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1:</w:t>
            </w:r>
          </w:p>
          <w:p w:rsidR="00642193" w:rsidRDefault="00642193" w:rsidP="00861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залишення існуючої на даний час ситуації без змін</w:t>
            </w:r>
          </w:p>
          <w:p w:rsidR="00642193" w:rsidRPr="00236E2C" w:rsidRDefault="00642193" w:rsidP="00861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DF4388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565CA7" w:rsidRDefault="00642193" w:rsidP="004D03D0">
            <w:pPr>
              <w:spacing w:after="0" w:line="240" w:lineRule="auto"/>
              <w:ind w:left="62" w:right="96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регуляторного акта не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досягнут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(проблема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залишається</w:t>
            </w: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42193" w:rsidRPr="00B51106" w:rsidTr="004D03D0">
        <w:trPr>
          <w:trHeight w:val="1184"/>
        </w:trPr>
        <w:tc>
          <w:tcPr>
            <w:tcW w:w="1830" w:type="pct"/>
          </w:tcPr>
          <w:p w:rsidR="00642193" w:rsidRDefault="00642193" w:rsidP="00861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2:</w:t>
            </w:r>
          </w:p>
          <w:p w:rsidR="00642193" w:rsidRPr="00B51106" w:rsidRDefault="00642193" w:rsidP="00861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прийняття нормативно-правового  акта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51106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565CA7" w:rsidRDefault="00642193" w:rsidP="0077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Цілей</w:t>
            </w: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регуляторного акта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досягнуто</w:t>
            </w: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повною мірою (проблем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65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буде)</w:t>
            </w:r>
          </w:p>
        </w:tc>
      </w:tr>
    </w:tbl>
    <w:p w:rsidR="00642193" w:rsidRPr="00177F55" w:rsidRDefault="00642193" w:rsidP="005E26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4977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1"/>
        <w:gridCol w:w="1620"/>
        <w:gridCol w:w="1620"/>
        <w:gridCol w:w="3872"/>
      </w:tblGrid>
      <w:tr w:rsidR="00642193" w:rsidRPr="00236E2C" w:rsidTr="001B0C3E">
        <w:tc>
          <w:tcPr>
            <w:tcW w:w="130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381A45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84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381A45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84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381A45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/>
                <w:b/>
                <w:sz w:val="24"/>
                <w:szCs w:val="24"/>
              </w:rPr>
              <w:t>Витрати (підсумок)</w:t>
            </w:r>
          </w:p>
        </w:tc>
        <w:tc>
          <w:tcPr>
            <w:tcW w:w="20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381A45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A45">
              <w:rPr>
                <w:rFonts w:ascii="Times New Roman" w:hAnsi="Times New Roman"/>
                <w:b/>
                <w:sz w:val="24"/>
                <w:szCs w:val="24"/>
              </w:rPr>
              <w:t>Обґрунтування відповідного місця альтернативи в рейтингу</w:t>
            </w:r>
          </w:p>
        </w:tc>
      </w:tr>
      <w:tr w:rsidR="00642193" w:rsidRPr="00236E2C" w:rsidTr="006810B0">
        <w:trPr>
          <w:trHeight w:val="1170"/>
        </w:trPr>
        <w:tc>
          <w:tcPr>
            <w:tcW w:w="130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CF199A" w:rsidRDefault="00642193" w:rsidP="00772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1:</w:t>
            </w:r>
          </w:p>
          <w:p w:rsidR="00642193" w:rsidRPr="00961613" w:rsidRDefault="00642193" w:rsidP="0077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19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залишення існуючої на даний час ситуації без змін</w:t>
            </w:r>
          </w:p>
        </w:tc>
        <w:tc>
          <w:tcPr>
            <w:tcW w:w="84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7638D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8D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84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B7638D" w:rsidRDefault="00642193" w:rsidP="00E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8D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20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961613" w:rsidRDefault="00642193" w:rsidP="004D03D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53BD">
              <w:rPr>
                <w:rStyle w:val="FontStyle41"/>
                <w:b w:val="0"/>
                <w:bCs/>
                <w:sz w:val="24"/>
                <w:szCs w:val="24"/>
              </w:rPr>
              <w:t>Проблема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 залишається</w:t>
            </w:r>
            <w:r w:rsidRPr="00DC53BD">
              <w:rPr>
                <w:rStyle w:val="FontStyle41"/>
                <w:b w:val="0"/>
                <w:bCs/>
                <w:sz w:val="24"/>
                <w:szCs w:val="24"/>
              </w:rPr>
              <w:t>,  досягнення поставлених цілей державного регулювання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 не буде забезпечено</w:t>
            </w:r>
          </w:p>
        </w:tc>
      </w:tr>
      <w:tr w:rsidR="00642193" w:rsidRPr="00236E2C" w:rsidTr="001B0C3E">
        <w:tc>
          <w:tcPr>
            <w:tcW w:w="1308" w:type="pct"/>
          </w:tcPr>
          <w:p w:rsidR="00642193" w:rsidRPr="009A1BD4" w:rsidRDefault="00642193" w:rsidP="00772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B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2:</w:t>
            </w:r>
          </w:p>
          <w:p w:rsidR="00642193" w:rsidRPr="00961613" w:rsidRDefault="00642193" w:rsidP="0077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B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прийняття нормативно-правового акта</w:t>
            </w:r>
          </w:p>
        </w:tc>
        <w:tc>
          <w:tcPr>
            <w:tcW w:w="841" w:type="pct"/>
          </w:tcPr>
          <w:p w:rsidR="00642193" w:rsidRPr="00B7638D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8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B7638D" w:rsidRDefault="00642193" w:rsidP="00B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8D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20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113160" w:rsidRDefault="00642193" w:rsidP="004D03D0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3160">
              <w:rPr>
                <w:rFonts w:ascii="Times New Roman" w:hAnsi="Times New Roman"/>
                <w:color w:val="000000"/>
                <w:sz w:val="24"/>
                <w:szCs w:val="24"/>
              </w:rPr>
              <w:t>Прийняття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проекту </w:t>
            </w:r>
            <w:r w:rsidRPr="00113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регуляторного акта дозволить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повною мірою</w:t>
            </w:r>
            <w:r w:rsidRPr="00113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досягнути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задекларованих </w:t>
            </w:r>
            <w:r w:rsidRPr="00113160">
              <w:rPr>
                <w:rFonts w:ascii="Times New Roman" w:hAnsi="Times New Roman"/>
                <w:color w:val="000000"/>
                <w:sz w:val="24"/>
                <w:szCs w:val="24"/>
              </w:rPr>
              <w:t>цілей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регулювання у сфері охоронної діяльності щодо захисту прав людини, її життя і здоров’я </w:t>
            </w:r>
          </w:p>
        </w:tc>
      </w:tr>
    </w:tbl>
    <w:p w:rsidR="00642193" w:rsidRPr="00177F55" w:rsidRDefault="00642193" w:rsidP="003E6CC1">
      <w:pPr>
        <w:spacing w:after="0" w:line="240" w:lineRule="auto"/>
        <w:ind w:left="448" w:right="448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7"/>
        <w:gridCol w:w="4313"/>
        <w:gridCol w:w="2799"/>
      </w:tblGrid>
      <w:tr w:rsidR="00642193" w:rsidRPr="00236E2C" w:rsidTr="001B0C3E">
        <w:trPr>
          <w:trHeight w:val="1135"/>
        </w:trPr>
        <w:tc>
          <w:tcPr>
            <w:tcW w:w="25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3E6CC1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CC1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43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3E6CC1" w:rsidRDefault="00642193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CC1">
              <w:rPr>
                <w:rFonts w:ascii="Times New Roman" w:hAnsi="Times New Roman"/>
                <w:b/>
                <w:sz w:val="24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27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3E6CC1" w:rsidRDefault="00642193" w:rsidP="00E751AF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CC1">
              <w:rPr>
                <w:rFonts w:ascii="Times New Roman" w:hAnsi="Times New Roman"/>
                <w:b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2193" w:rsidRPr="00236E2C" w:rsidTr="001B0C3E">
        <w:trPr>
          <w:trHeight w:val="1276"/>
        </w:trPr>
        <w:tc>
          <w:tcPr>
            <w:tcW w:w="25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CF199A" w:rsidRDefault="00642193" w:rsidP="008616B4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1:</w:t>
            </w:r>
          </w:p>
          <w:p w:rsidR="00642193" w:rsidRPr="003C6571" w:rsidRDefault="00642193" w:rsidP="008616B4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залишення існуючої на даний час ситуації без змін</w:t>
            </w:r>
          </w:p>
        </w:tc>
        <w:tc>
          <w:tcPr>
            <w:tcW w:w="43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794161" w:rsidRDefault="00642193" w:rsidP="004D03D0">
            <w:pPr>
              <w:spacing w:after="0" w:line="240" w:lineRule="auto"/>
              <w:ind w:left="153" w:right="13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161">
              <w:rPr>
                <w:rFonts w:ascii="Times New Roman" w:hAnsi="Times New Roman"/>
                <w:sz w:val="24"/>
                <w:szCs w:val="24"/>
              </w:rPr>
              <w:t>Переваги відсутні. Основна причина відмови – подальше зростання  кількості учинених протиправних діянь працівниками суб’єктів охоронної діяльності, які з використанням наданих їм повноважень порушують конституційні права і свободи громадян, перешкоджають  здійсненню законній господарській діяльності та завдають шкод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4161">
              <w:rPr>
                <w:rFonts w:ascii="Times New Roman" w:hAnsi="Times New Roman"/>
                <w:sz w:val="24"/>
                <w:szCs w:val="24"/>
              </w:rPr>
              <w:t xml:space="preserve"> національній безпеці 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94161">
              <w:rPr>
                <w:rFonts w:ascii="Times New Roman" w:hAnsi="Times New Roman"/>
                <w:sz w:val="24"/>
                <w:szCs w:val="24"/>
              </w:rPr>
              <w:t>ави</w:t>
            </w:r>
            <w:r w:rsidRPr="0079416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7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236E2C" w:rsidRDefault="00642193" w:rsidP="00A95360">
            <w:pPr>
              <w:spacing w:after="0" w:line="240" w:lineRule="auto"/>
              <w:ind w:left="160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7D">
              <w:rPr>
                <w:rStyle w:val="FontStyle41"/>
                <w:b w:val="0"/>
                <w:bCs/>
                <w:sz w:val="24"/>
                <w:szCs w:val="24"/>
              </w:rPr>
              <w:t>Вплив зовнішніх факторів на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  <w:r w:rsidRPr="00E0367D">
              <w:rPr>
                <w:rStyle w:val="FontStyle41"/>
                <w:b w:val="0"/>
                <w:bCs/>
                <w:sz w:val="24"/>
                <w:szCs w:val="24"/>
              </w:rPr>
              <w:t xml:space="preserve">дію регуляторного акта не 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>передбачається</w:t>
            </w:r>
          </w:p>
        </w:tc>
      </w:tr>
      <w:tr w:rsidR="00642193" w:rsidRPr="00236E2C" w:rsidTr="001B0C3E">
        <w:trPr>
          <w:trHeight w:val="1897"/>
        </w:trPr>
        <w:tc>
          <w:tcPr>
            <w:tcW w:w="2527" w:type="dxa"/>
            <w:vMerge w:val="restart"/>
          </w:tcPr>
          <w:p w:rsidR="00642193" w:rsidRPr="009A1BD4" w:rsidRDefault="00642193" w:rsidP="00D97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B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2:</w:t>
            </w:r>
          </w:p>
          <w:p w:rsidR="00642193" w:rsidRPr="00E0367D" w:rsidRDefault="00642193" w:rsidP="00D9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прийняття нормативно-правового  акта</w:t>
            </w:r>
          </w:p>
        </w:tc>
        <w:tc>
          <w:tcPr>
            <w:tcW w:w="4313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1B0C3E" w:rsidRDefault="00642193" w:rsidP="001B0C3E">
            <w:pPr>
              <w:spacing w:after="0" w:line="240" w:lineRule="auto"/>
              <w:ind w:left="153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C3E">
              <w:rPr>
                <w:rFonts w:ascii="Times New Roman" w:hAnsi="Times New Roman"/>
                <w:sz w:val="24"/>
                <w:szCs w:val="24"/>
              </w:rPr>
              <w:t xml:space="preserve">Прийняття запропонованого регуляторного акта забезпечить  </w:t>
            </w:r>
            <w:r w:rsidRPr="001B0C3E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державного нагляду (контролю)</w:t>
            </w:r>
            <w:r w:rsidRPr="001B0C3E">
              <w:rPr>
                <w:rFonts w:ascii="Times New Roman" w:hAnsi="Times New Roman"/>
                <w:sz w:val="24"/>
                <w:szCs w:val="24"/>
              </w:rPr>
              <w:t xml:space="preserve"> з боку держави за дотриманням законодавства </w:t>
            </w:r>
            <w:r w:rsidRPr="001B0C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 сфері охоронної діяльності</w:t>
            </w:r>
            <w:r w:rsidRPr="001B0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сприятиме </w:t>
            </w:r>
            <w:r w:rsidRPr="001B0C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реалізації Стратегії реформування системи державного нагляду (контролю), схваленої </w:t>
            </w:r>
            <w:r w:rsidRPr="001B0C3E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розпорядженням Кабінету Міністрів України від 18 грудня  2017 року  </w:t>
            </w:r>
            <w:r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</w:t>
            </w:r>
            <w:r w:rsidRPr="001B0C3E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№ 1020-р, </w:t>
            </w:r>
            <w:r w:rsidRPr="001B0C3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 частині </w:t>
            </w:r>
            <w:r w:rsidRPr="001B0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переорієнтації державного нагляду (контролю) з карально-репресивної системи на превентивну і ризик-орієнтовану, які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спрямован</w:t>
            </w:r>
            <w:r w:rsidRPr="001B0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 на запобігання порушенням вимог законодавства у сфері господарської діяльності</w:t>
            </w:r>
          </w:p>
        </w:tc>
        <w:tc>
          <w:tcPr>
            <w:tcW w:w="279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193" w:rsidRPr="00E0367D" w:rsidRDefault="00642193" w:rsidP="00A953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7D">
              <w:rPr>
                <w:rStyle w:val="FontStyle41"/>
                <w:b w:val="0"/>
                <w:bCs/>
                <w:sz w:val="24"/>
                <w:szCs w:val="24"/>
              </w:rPr>
              <w:t>Вплив зовнішніх факторів на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  <w:r w:rsidRPr="00E0367D">
              <w:rPr>
                <w:rStyle w:val="FontStyle41"/>
                <w:b w:val="0"/>
                <w:bCs/>
                <w:sz w:val="24"/>
                <w:szCs w:val="24"/>
              </w:rPr>
              <w:t xml:space="preserve">дію регуляторного акта не </w:t>
            </w:r>
            <w:r>
              <w:rPr>
                <w:rStyle w:val="FontStyle41"/>
                <w:b w:val="0"/>
                <w:bCs/>
                <w:sz w:val="24"/>
                <w:szCs w:val="24"/>
              </w:rPr>
              <w:t>передбачається</w:t>
            </w:r>
          </w:p>
          <w:p w:rsidR="00642193" w:rsidRPr="00236E2C" w:rsidRDefault="00642193" w:rsidP="00EB1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193" w:rsidRPr="00236E2C" w:rsidTr="001B0C3E">
        <w:trPr>
          <w:trHeight w:val="522"/>
        </w:trPr>
        <w:tc>
          <w:tcPr>
            <w:tcW w:w="2527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236E2C" w:rsidRDefault="00642193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236E2C" w:rsidRDefault="00642193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2193" w:rsidRPr="00236E2C" w:rsidRDefault="00642193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193" w:rsidRDefault="00642193" w:rsidP="00494435">
      <w:pPr>
        <w:pStyle w:val="AeiOaieaaeaec"/>
        <w:ind w:firstLine="709"/>
        <w:jc w:val="both"/>
        <w:rPr>
          <w:b/>
          <w:color w:val="auto"/>
          <w:sz w:val="28"/>
          <w:szCs w:val="28"/>
          <w:lang w:val="uk-UA"/>
        </w:rPr>
      </w:pPr>
    </w:p>
    <w:p w:rsidR="00642193" w:rsidRDefault="00642193" w:rsidP="008407F7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</w:t>
      </w:r>
      <w:r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642193" w:rsidRPr="002E1F0E" w:rsidRDefault="00642193" w:rsidP="008407F7">
      <w:pPr>
        <w:pStyle w:val="AeiOaieaaeaec"/>
        <w:rPr>
          <w:b/>
          <w:color w:val="auto"/>
          <w:sz w:val="16"/>
          <w:szCs w:val="16"/>
          <w:lang w:val="uk-UA"/>
        </w:rPr>
      </w:pPr>
    </w:p>
    <w:p w:rsidR="00642193" w:rsidRDefault="00642193" w:rsidP="002E1F0E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Механізмом, який забезпечить розв’язання визначеної проблеми, є прийняття проекту постанови </w:t>
      </w:r>
      <w:r w:rsidRPr="006505F7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Pr="006505F7">
        <w:rPr>
          <w:rStyle w:val="rvts23"/>
          <w:rFonts w:ascii="Times New Roman" w:hAnsi="Times New Roman"/>
          <w:bCs/>
          <w:color w:val="000000"/>
          <w:sz w:val="28"/>
          <w:szCs w:val="28"/>
        </w:rPr>
        <w:t>«Про внесення зміни до переліку</w:t>
      </w:r>
      <w:r w:rsidRPr="006505F7">
        <w:rPr>
          <w:rFonts w:ascii="Times New Roman" w:hAnsi="Times New Roman"/>
          <w:sz w:val="28"/>
          <w:szCs w:val="28"/>
        </w:rPr>
        <w:t xml:space="preserve"> </w:t>
      </w:r>
      <w:r w:rsidRPr="006505F7">
        <w:rPr>
          <w:rStyle w:val="rvts23"/>
          <w:rFonts w:ascii="Times New Roman" w:hAnsi="Times New Roman"/>
          <w:bCs/>
          <w:color w:val="000000"/>
          <w:sz w:val="28"/>
          <w:szCs w:val="28"/>
        </w:rPr>
        <w:t>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</w:rPr>
        <w:t>.</w:t>
      </w:r>
    </w:p>
    <w:p w:rsidR="00642193" w:rsidRPr="000B4FB4" w:rsidRDefault="00642193" w:rsidP="00D22EC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Прийняття </w:t>
      </w:r>
      <w:r w:rsidRPr="007578F4">
        <w:rPr>
          <w:rFonts w:ascii="Times New Roman" w:hAnsi="Times New Roman"/>
          <w:sz w:val="28"/>
          <w:szCs w:val="28"/>
        </w:rPr>
        <w:t>запропонован</w:t>
      </w:r>
      <w:r>
        <w:rPr>
          <w:rFonts w:ascii="Times New Roman" w:hAnsi="Times New Roman"/>
          <w:sz w:val="28"/>
          <w:szCs w:val="28"/>
        </w:rPr>
        <w:t xml:space="preserve">ого регуляторного </w:t>
      </w:r>
      <w:r w:rsidRPr="002E1F0E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забезпечить здійснення заходів державного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нагляду (контролю) відносно </w:t>
      </w:r>
      <w:r w:rsidRPr="000B4FB4">
        <w:rPr>
          <w:rFonts w:ascii="Times New Roman" w:hAnsi="Times New Roman"/>
          <w:color w:val="000000"/>
          <w:sz w:val="28"/>
          <w:szCs w:val="28"/>
        </w:rPr>
        <w:t xml:space="preserve">суб’єктів охоронної </w:t>
      </w:r>
      <w:r>
        <w:rPr>
          <w:rFonts w:ascii="Times New Roman" w:hAnsi="Times New Roman"/>
          <w:color w:val="000000"/>
          <w:sz w:val="28"/>
          <w:szCs w:val="28"/>
        </w:rPr>
        <w:t>діяльності, працівниками яких</w:t>
      </w:r>
      <w:r w:rsidRPr="000B4FB4">
        <w:rPr>
          <w:rFonts w:ascii="Times New Roman" w:hAnsi="Times New Roman"/>
          <w:color w:val="000000"/>
          <w:sz w:val="28"/>
          <w:szCs w:val="28"/>
        </w:rPr>
        <w:t xml:space="preserve"> з використанням наданих їм повноважень учинено протиправні діяння, відомості про які внесено до Єдиного  реєстру досудових розслідувань</w:t>
      </w:r>
      <w:r w:rsidRPr="000B4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42193" w:rsidRPr="002E1F0E" w:rsidRDefault="00642193" w:rsidP="002E1F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193" w:rsidRDefault="00642193" w:rsidP="00D22ECC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>
        <w:rPr>
          <w:b/>
          <w:color w:val="auto"/>
          <w:sz w:val="28"/>
          <w:szCs w:val="28"/>
          <w:lang w:val="uk-UA"/>
        </w:rPr>
        <w:t xml:space="preserve">. </w:t>
      </w:r>
      <w:r w:rsidRPr="00236E2C">
        <w:rPr>
          <w:b/>
          <w:color w:val="auto"/>
          <w:sz w:val="28"/>
          <w:szCs w:val="28"/>
          <w:lang w:val="uk-UA"/>
        </w:rPr>
        <w:t>Оцінка виконання вимог регуляторного акта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>
        <w:rPr>
          <w:b/>
          <w:color w:val="auto"/>
          <w:sz w:val="28"/>
          <w:szCs w:val="28"/>
          <w:lang w:val="uk-UA"/>
        </w:rPr>
        <w:t xml:space="preserve"> я</w:t>
      </w:r>
      <w:r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самоврядування, фізичні та юридичні особи, які повинні </w:t>
      </w:r>
      <w:r>
        <w:rPr>
          <w:b/>
          <w:color w:val="auto"/>
          <w:sz w:val="28"/>
          <w:szCs w:val="28"/>
          <w:lang w:val="uk-UA"/>
        </w:rPr>
        <w:t>в</w:t>
      </w:r>
      <w:r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642193" w:rsidRPr="00D22ECC" w:rsidRDefault="00642193" w:rsidP="00D22ECC">
      <w:pPr>
        <w:pStyle w:val="AeiOaieaaeaec"/>
        <w:rPr>
          <w:b/>
          <w:color w:val="auto"/>
          <w:sz w:val="16"/>
          <w:szCs w:val="16"/>
          <w:lang w:val="uk-UA"/>
        </w:rPr>
      </w:pPr>
    </w:p>
    <w:p w:rsidR="00642193" w:rsidRPr="00C05EB7" w:rsidRDefault="00642193" w:rsidP="00C05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05EB7">
        <w:rPr>
          <w:rFonts w:ascii="Times New Roman" w:hAnsi="Times New Roman"/>
          <w:sz w:val="28"/>
          <w:szCs w:val="28"/>
          <w:lang w:eastAsia="ru-RU"/>
        </w:rPr>
        <w:t>провадження та виконання вимог регуляторного 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EB7">
        <w:rPr>
          <w:rFonts w:ascii="Times New Roman" w:hAnsi="Times New Roman"/>
          <w:sz w:val="28"/>
          <w:szCs w:val="28"/>
          <w:lang w:eastAsia="ru-RU"/>
        </w:rPr>
        <w:t xml:space="preserve">не потребуватиме додаткових матеріальних, фінансових ресурсів </w:t>
      </w:r>
      <w:r w:rsidRPr="00C05EB7">
        <w:rPr>
          <w:rFonts w:ascii="Times New Roman" w:hAnsi="Times New Roman"/>
          <w:sz w:val="28"/>
          <w:szCs w:val="28"/>
        </w:rPr>
        <w:t>органів виконавчої влади та органів місцевого самоврядування.</w:t>
      </w:r>
    </w:p>
    <w:p w:rsidR="00642193" w:rsidRDefault="00642193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Очікувані наслідки дії запропонованого регуляторного акта не передбачають нанесення </w:t>
      </w:r>
      <w:r w:rsidRPr="00236E2C">
        <w:rPr>
          <w:rFonts w:ascii="Times New Roman" w:hAnsi="Times New Roman"/>
          <w:sz w:val="28"/>
          <w:szCs w:val="28"/>
          <w:lang w:eastAsia="ru-RU"/>
        </w:rPr>
        <w:t>шкоди суб’єктам господарювання.</w:t>
      </w:r>
    </w:p>
    <w:p w:rsidR="00642193" w:rsidRPr="00236E2C" w:rsidRDefault="00642193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193" w:rsidRDefault="00642193" w:rsidP="00091446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>
        <w:rPr>
          <w:b/>
          <w:color w:val="auto"/>
          <w:sz w:val="28"/>
          <w:szCs w:val="28"/>
          <w:lang w:val="uk-UA"/>
        </w:rPr>
        <w:t xml:space="preserve">. </w:t>
      </w:r>
      <w:r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236E2C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642193" w:rsidRDefault="00642193" w:rsidP="00091446">
      <w:pPr>
        <w:pStyle w:val="AeiOaieaaeaec"/>
        <w:rPr>
          <w:b/>
          <w:color w:val="auto"/>
          <w:sz w:val="16"/>
          <w:szCs w:val="16"/>
          <w:lang w:val="uk-UA"/>
        </w:rPr>
      </w:pPr>
    </w:p>
    <w:p w:rsidR="00642193" w:rsidRPr="002C705E" w:rsidRDefault="00642193" w:rsidP="00AB0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3463D">
        <w:rPr>
          <w:rFonts w:ascii="Times New Roman" w:hAnsi="Times New Roman"/>
          <w:color w:val="000000"/>
          <w:sz w:val="28"/>
          <w:szCs w:val="28"/>
        </w:rPr>
        <w:t>егуляторн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A3463D">
        <w:rPr>
          <w:rFonts w:ascii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6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набирає чинності </w:t>
      </w:r>
      <w:r w:rsidRPr="00A3463D">
        <w:rPr>
          <w:rFonts w:ascii="Times New Roman" w:hAnsi="Times New Roman"/>
          <w:color w:val="000000"/>
          <w:sz w:val="28"/>
          <w:szCs w:val="28"/>
        </w:rPr>
        <w:t xml:space="preserve">з дня </w:t>
      </w:r>
      <w:r>
        <w:rPr>
          <w:rFonts w:ascii="Times New Roman" w:hAnsi="Times New Roman"/>
          <w:color w:val="000000"/>
          <w:sz w:val="28"/>
          <w:szCs w:val="28"/>
        </w:rPr>
        <w:t>його</w:t>
      </w:r>
      <w:r w:rsidRPr="00A3463D">
        <w:rPr>
          <w:rFonts w:ascii="Times New Roman" w:hAnsi="Times New Roman"/>
          <w:color w:val="000000"/>
          <w:sz w:val="28"/>
          <w:szCs w:val="28"/>
        </w:rPr>
        <w:t xml:space="preserve"> офіційного опублікування, 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A3463D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 його дії з</w:t>
      </w:r>
      <w:r w:rsidRPr="004F3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алежить від терміну дії Закону України </w:t>
      </w:r>
      <w:r w:rsidRPr="006505F7">
        <w:rPr>
          <w:rStyle w:val="rvts23"/>
          <w:rFonts w:ascii="Times New Roman" w:hAnsi="Times New Roman"/>
          <w:bCs/>
          <w:color w:val="000000"/>
          <w:sz w:val="28"/>
          <w:szCs w:val="28"/>
        </w:rPr>
        <w:t>«Про тимчасові особливості здійснення заходів державного нагляду (контролю) у сфері господарської діяльності»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</w:rPr>
        <w:t>.</w:t>
      </w:r>
    </w:p>
    <w:p w:rsidR="00642193" w:rsidRDefault="00642193" w:rsidP="0072508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42193" w:rsidRDefault="00642193" w:rsidP="00F6065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  <w:lang w:val="uk-UA"/>
        </w:rPr>
        <w:t xml:space="preserve">. </w:t>
      </w:r>
      <w:r w:rsidRPr="00236E2C">
        <w:rPr>
          <w:b/>
          <w:color w:val="auto"/>
          <w:sz w:val="28"/>
          <w:szCs w:val="28"/>
          <w:lang w:val="uk-UA"/>
        </w:rPr>
        <w:t>Визначення показників результативності дії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236E2C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642193" w:rsidRPr="00F60650" w:rsidRDefault="00642193" w:rsidP="00F60650">
      <w:pPr>
        <w:pStyle w:val="AeiOaieaaeaec"/>
        <w:rPr>
          <w:b/>
          <w:color w:val="auto"/>
          <w:sz w:val="16"/>
          <w:szCs w:val="16"/>
          <w:lang w:val="uk-UA"/>
        </w:rPr>
      </w:pPr>
    </w:p>
    <w:p w:rsidR="00642193" w:rsidRPr="00814925" w:rsidRDefault="00642193" w:rsidP="00A57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Прогнозними показник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ами </w:t>
      </w:r>
      <w:r w:rsidRPr="00814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результативності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дії </w:t>
      </w:r>
      <w:r w:rsidRPr="00814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регуляторного акта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є:</w:t>
      </w:r>
    </w:p>
    <w:p w:rsidR="00642193" w:rsidRPr="00C62A21" w:rsidRDefault="00642193" w:rsidP="00A57E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D27">
        <w:rPr>
          <w:color w:val="000000"/>
          <w:sz w:val="28"/>
          <w:szCs w:val="28"/>
          <w:shd w:val="clear" w:color="auto" w:fill="FFFFFF"/>
        </w:rPr>
        <w:t>розмір надходжень до державного та місцевих бюджетів і</w:t>
      </w:r>
      <w:r>
        <w:rPr>
          <w:color w:val="000000"/>
          <w:sz w:val="28"/>
          <w:szCs w:val="28"/>
          <w:shd w:val="clear" w:color="auto" w:fill="FFFFFF"/>
        </w:rPr>
        <w:t xml:space="preserve"> державних цільових фондів, пов’</w:t>
      </w:r>
      <w:r w:rsidRPr="00824D27">
        <w:rPr>
          <w:color w:val="000000"/>
          <w:sz w:val="28"/>
          <w:szCs w:val="28"/>
          <w:shd w:val="clear" w:color="auto" w:fill="FFFFFF"/>
        </w:rPr>
        <w:t>язаних з дією акта</w:t>
      </w:r>
      <w:r>
        <w:rPr>
          <w:color w:val="000000"/>
          <w:sz w:val="28"/>
          <w:szCs w:val="28"/>
          <w:shd w:val="clear" w:color="auto" w:fill="FFFFFF"/>
        </w:rPr>
        <w:t>, – прямих надходжень до державного та місцевих бюджетів не передбачається</w:t>
      </w:r>
      <w:r w:rsidRPr="00C62A21">
        <w:rPr>
          <w:color w:val="000000"/>
          <w:sz w:val="28"/>
          <w:szCs w:val="28"/>
        </w:rPr>
        <w:t>;</w:t>
      </w:r>
    </w:p>
    <w:p w:rsidR="00642193" w:rsidRDefault="00642193" w:rsidP="00A57E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n36"/>
      <w:bookmarkStart w:id="1" w:name="n38"/>
      <w:bookmarkEnd w:id="0"/>
      <w:bookmarkEnd w:id="1"/>
      <w:r w:rsidRPr="00C62A21">
        <w:rPr>
          <w:color w:val="000000"/>
          <w:sz w:val="28"/>
          <w:szCs w:val="28"/>
        </w:rPr>
        <w:t>рівень поінформованості суб</w:t>
      </w:r>
      <w:r>
        <w:rPr>
          <w:color w:val="000000"/>
          <w:sz w:val="28"/>
          <w:szCs w:val="28"/>
        </w:rPr>
        <w:t>’</w:t>
      </w:r>
      <w:r w:rsidRPr="00C62A21">
        <w:rPr>
          <w:color w:val="000000"/>
          <w:sz w:val="28"/>
          <w:szCs w:val="28"/>
        </w:rPr>
        <w:t>єктів господарювання та/або фізични</w:t>
      </w:r>
      <w:r>
        <w:rPr>
          <w:color w:val="000000"/>
          <w:sz w:val="28"/>
          <w:szCs w:val="28"/>
        </w:rPr>
        <w:t xml:space="preserve">х осіб з основних положень акта – вище середнього. </w:t>
      </w:r>
    </w:p>
    <w:p w:rsidR="00642193" w:rsidRPr="00236E2C" w:rsidRDefault="00642193" w:rsidP="00911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постанови</w:t>
      </w:r>
      <w:r w:rsidRPr="00236E2C">
        <w:rPr>
          <w:rFonts w:ascii="Times New Roman" w:hAnsi="Times New Roman"/>
          <w:sz w:val="28"/>
          <w:szCs w:val="28"/>
        </w:rPr>
        <w:t xml:space="preserve"> </w:t>
      </w:r>
      <w:r w:rsidRPr="009117FE">
        <w:rPr>
          <w:rFonts w:ascii="Times New Roman" w:hAnsi="Times New Roman"/>
          <w:sz w:val="28"/>
          <w:szCs w:val="28"/>
        </w:rPr>
        <w:t xml:space="preserve">оприлюднено </w:t>
      </w:r>
      <w:r w:rsidRPr="00236E2C">
        <w:rPr>
          <w:rFonts w:ascii="Times New Roman" w:hAnsi="Times New Roman"/>
          <w:sz w:val="28"/>
          <w:szCs w:val="28"/>
        </w:rPr>
        <w:t xml:space="preserve">на офіційному </w:t>
      </w:r>
      <w:r>
        <w:rPr>
          <w:rFonts w:ascii="Times New Roman" w:hAnsi="Times New Roman"/>
          <w:sz w:val="28"/>
          <w:szCs w:val="28"/>
        </w:rPr>
        <w:t>веб-</w:t>
      </w:r>
      <w:r w:rsidRPr="00236E2C">
        <w:rPr>
          <w:rFonts w:ascii="Times New Roman" w:hAnsi="Times New Roman"/>
          <w:sz w:val="28"/>
          <w:szCs w:val="28"/>
        </w:rPr>
        <w:t>сайті М</w:t>
      </w:r>
      <w:r>
        <w:rPr>
          <w:rFonts w:ascii="Times New Roman" w:hAnsi="Times New Roman"/>
          <w:sz w:val="28"/>
          <w:szCs w:val="28"/>
        </w:rPr>
        <w:t>ВС</w:t>
      </w:r>
      <w:r w:rsidRPr="009117FE">
        <w:rPr>
          <w:sz w:val="28"/>
          <w:szCs w:val="28"/>
        </w:rPr>
        <w:t xml:space="preserve"> </w:t>
      </w:r>
      <w:r w:rsidRPr="009117FE">
        <w:rPr>
          <w:rFonts w:ascii="Times New Roman" w:hAnsi="Times New Roman"/>
          <w:sz w:val="28"/>
          <w:szCs w:val="28"/>
        </w:rPr>
        <w:t>у підрубриці «Проекти нормативних актів» рубрики «Нормативна база МВС»</w:t>
      </w:r>
      <w:r w:rsidRPr="00236E2C">
        <w:rPr>
          <w:rFonts w:ascii="Times New Roman" w:hAnsi="Times New Roman"/>
          <w:sz w:val="28"/>
          <w:szCs w:val="28"/>
        </w:rPr>
        <w:t xml:space="preserve">, що є достатнім для </w:t>
      </w:r>
      <w:r>
        <w:rPr>
          <w:rFonts w:ascii="Times New Roman" w:hAnsi="Times New Roman"/>
          <w:sz w:val="28"/>
          <w:szCs w:val="28"/>
        </w:rPr>
        <w:t xml:space="preserve">забезпечення </w:t>
      </w:r>
      <w:r w:rsidRPr="00236E2C">
        <w:rPr>
          <w:rFonts w:ascii="Times New Roman" w:hAnsi="Times New Roman"/>
          <w:sz w:val="28"/>
          <w:szCs w:val="28"/>
        </w:rPr>
        <w:t xml:space="preserve">поінформованості широкої громадськості та </w:t>
      </w:r>
      <w:r w:rsidRPr="00236E2C">
        <w:rPr>
          <w:rFonts w:ascii="Times New Roman" w:hAnsi="Times New Roman"/>
          <w:sz w:val="28"/>
          <w:szCs w:val="28"/>
          <w:lang w:eastAsia="ru-RU"/>
        </w:rPr>
        <w:t>суб’єктів господарювання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2193" w:rsidRPr="00236E2C" w:rsidRDefault="00642193" w:rsidP="004944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2193" w:rsidRDefault="00642193" w:rsidP="00F6065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  <w:lang w:val="uk-UA"/>
        </w:rPr>
        <w:t xml:space="preserve">. </w:t>
      </w:r>
      <w:r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236E2C">
        <w:rPr>
          <w:b/>
          <w:color w:val="auto"/>
          <w:sz w:val="28"/>
          <w:szCs w:val="28"/>
          <w:lang w:val="uk-UA"/>
        </w:rPr>
        <w:t>здійснюватиметься відстеження результативності дії регуляторного акта</w:t>
      </w:r>
    </w:p>
    <w:p w:rsidR="00642193" w:rsidRPr="00F60650" w:rsidRDefault="00642193" w:rsidP="00F60650">
      <w:pPr>
        <w:pStyle w:val="AeiOaieaaeaec"/>
        <w:rPr>
          <w:b/>
          <w:color w:val="auto"/>
          <w:sz w:val="16"/>
          <w:szCs w:val="16"/>
          <w:lang w:val="uk-UA"/>
        </w:rPr>
      </w:pPr>
    </w:p>
    <w:p w:rsidR="00642193" w:rsidRDefault="00642193" w:rsidP="00911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Відносно регуляторного акта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 </w:t>
      </w:r>
      <w:r w:rsidRPr="0093262B">
        <w:rPr>
          <w:rFonts w:ascii="Times New Roman" w:hAnsi="Times New Roman"/>
          <w:color w:val="000000"/>
          <w:sz w:val="28"/>
          <w:szCs w:val="28"/>
          <w:lang w:eastAsia="ru-RU"/>
        </w:rPr>
        <w:t>послідовно здійснюватися базове, повторне та періодичне ві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дстеження його результативності </w:t>
      </w:r>
      <w:r w:rsidRPr="004F3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терміни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F3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порядку, визначен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4F3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статтею 10 Закону України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hAnsi="Times New Roman"/>
          <w:color w:val="000000"/>
          <w:sz w:val="28"/>
          <w:szCs w:val="28"/>
          <w:lang w:eastAsia="ru-RU"/>
        </w:rPr>
        <w:t>Про засади державної регуляторної політики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сфері господарської діяльності»</w:t>
      </w:r>
      <w:r w:rsidRPr="004F33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42193" w:rsidRPr="001E53C3" w:rsidRDefault="00642193" w:rsidP="00911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3C3">
        <w:rPr>
          <w:rFonts w:ascii="Times New Roman" w:hAnsi="Times New Roman"/>
          <w:color w:val="211F1F"/>
          <w:sz w:val="28"/>
          <w:szCs w:val="28"/>
        </w:rPr>
        <w:t xml:space="preserve">Метод проведення відстеження результативності – </w:t>
      </w:r>
      <w:r w:rsidRPr="00875ED2">
        <w:rPr>
          <w:rFonts w:ascii="Times New Roman" w:hAnsi="Times New Roman"/>
          <w:bCs/>
          <w:sz w:val="28"/>
          <w:szCs w:val="28"/>
        </w:rPr>
        <w:t xml:space="preserve">аналіз статистичних даних та </w:t>
      </w:r>
      <w:r>
        <w:rPr>
          <w:rFonts w:ascii="Times New Roman" w:hAnsi="Times New Roman"/>
          <w:bCs/>
          <w:sz w:val="28"/>
          <w:szCs w:val="28"/>
        </w:rPr>
        <w:t xml:space="preserve">відповідних </w:t>
      </w:r>
      <w:r w:rsidRPr="00875ED2">
        <w:rPr>
          <w:rFonts w:ascii="Times New Roman" w:hAnsi="Times New Roman"/>
          <w:bCs/>
          <w:sz w:val="28"/>
          <w:szCs w:val="28"/>
        </w:rPr>
        <w:t>кількісних показників</w:t>
      </w:r>
      <w:r w:rsidRPr="001E53C3">
        <w:rPr>
          <w:rFonts w:ascii="Times New Roman" w:hAnsi="Times New Roman"/>
          <w:color w:val="211F1F"/>
          <w:sz w:val="28"/>
          <w:szCs w:val="28"/>
        </w:rPr>
        <w:t>.</w:t>
      </w:r>
    </w:p>
    <w:p w:rsidR="00642193" w:rsidRDefault="00642193" w:rsidP="00F606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2193" w:rsidRPr="00236E2C" w:rsidRDefault="00642193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193" w:rsidRPr="00236E2C" w:rsidRDefault="00642193" w:rsidP="00494435">
      <w:pPr>
        <w:pStyle w:val="BodyText"/>
        <w:rPr>
          <w:sz w:val="26"/>
          <w:szCs w:val="26"/>
        </w:rPr>
      </w:pPr>
      <w:r w:rsidRPr="00236E2C">
        <w:rPr>
          <w:b/>
        </w:rPr>
        <w:t xml:space="preserve">Міністр </w:t>
      </w:r>
      <w:r>
        <w:rPr>
          <w:b/>
        </w:rPr>
        <w:t xml:space="preserve">внутрішніх справ </w:t>
      </w:r>
      <w:r w:rsidRPr="00236E2C">
        <w:rPr>
          <w:b/>
        </w:rPr>
        <w:t>України</w:t>
      </w:r>
      <w:r>
        <w:rPr>
          <w:b/>
        </w:rPr>
        <w:t xml:space="preserve">                                                Арсен Аваков</w:t>
      </w:r>
    </w:p>
    <w:p w:rsidR="00642193" w:rsidRDefault="00642193" w:rsidP="00494435">
      <w:pPr>
        <w:pStyle w:val="BodyText"/>
        <w:rPr>
          <w:szCs w:val="28"/>
        </w:rPr>
      </w:pPr>
    </w:p>
    <w:p w:rsidR="00642193" w:rsidRPr="00F0716F" w:rsidRDefault="00642193" w:rsidP="00494435">
      <w:pPr>
        <w:pStyle w:val="BodyText"/>
        <w:rPr>
          <w:szCs w:val="28"/>
          <w:lang w:val="ru-RU"/>
        </w:rPr>
      </w:pPr>
      <w:r>
        <w:rPr>
          <w:szCs w:val="28"/>
        </w:rPr>
        <w:t>____.____.201</w:t>
      </w:r>
      <w:r w:rsidRPr="00F0716F">
        <w:rPr>
          <w:szCs w:val="28"/>
          <w:lang w:val="ru-RU"/>
        </w:rPr>
        <w:t>8</w:t>
      </w:r>
    </w:p>
    <w:p w:rsidR="00642193" w:rsidRDefault="00642193"/>
    <w:sectPr w:rsidR="00642193" w:rsidSect="00A95360"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93" w:rsidRDefault="00642193">
      <w:pPr>
        <w:spacing w:after="0" w:line="240" w:lineRule="auto"/>
      </w:pPr>
      <w:r>
        <w:separator/>
      </w:r>
    </w:p>
  </w:endnote>
  <w:endnote w:type="continuationSeparator" w:id="1">
    <w:p w:rsidR="00642193" w:rsidRDefault="0064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93" w:rsidRDefault="00642193">
      <w:pPr>
        <w:spacing w:after="0" w:line="240" w:lineRule="auto"/>
      </w:pPr>
      <w:r>
        <w:separator/>
      </w:r>
    </w:p>
  </w:footnote>
  <w:footnote w:type="continuationSeparator" w:id="1">
    <w:p w:rsidR="00642193" w:rsidRDefault="0064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93" w:rsidRDefault="00642193" w:rsidP="00402D50">
    <w:pPr>
      <w:pStyle w:val="Header"/>
      <w:jc w:val="center"/>
      <w:rPr>
        <w:rFonts w:ascii="Times New Roman" w:hAnsi="Times New Roman"/>
        <w:sz w:val="24"/>
        <w:szCs w:val="24"/>
      </w:rPr>
    </w:pPr>
  </w:p>
  <w:p w:rsidR="00642193" w:rsidRDefault="00642193" w:rsidP="00402D50">
    <w:pPr>
      <w:pStyle w:val="Header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642193" w:rsidRDefault="00642193" w:rsidP="00402D5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A8A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98C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8C6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949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F0F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DAB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469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504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6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4C6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435"/>
    <w:rsid w:val="00020EF1"/>
    <w:rsid w:val="000220EE"/>
    <w:rsid w:val="000221C3"/>
    <w:rsid w:val="0002270F"/>
    <w:rsid w:val="00050688"/>
    <w:rsid w:val="00050AEF"/>
    <w:rsid w:val="000557EC"/>
    <w:rsid w:val="00056D61"/>
    <w:rsid w:val="00065671"/>
    <w:rsid w:val="00091446"/>
    <w:rsid w:val="000B23A9"/>
    <w:rsid w:val="000B4FB4"/>
    <w:rsid w:val="000C27BC"/>
    <w:rsid w:val="000C30A5"/>
    <w:rsid w:val="000C6A56"/>
    <w:rsid w:val="000C6C5C"/>
    <w:rsid w:val="00113160"/>
    <w:rsid w:val="00130F35"/>
    <w:rsid w:val="00137833"/>
    <w:rsid w:val="00144BFB"/>
    <w:rsid w:val="00160DCF"/>
    <w:rsid w:val="001760B5"/>
    <w:rsid w:val="00177F55"/>
    <w:rsid w:val="00181BB6"/>
    <w:rsid w:val="00191596"/>
    <w:rsid w:val="001A1B2A"/>
    <w:rsid w:val="001B0C3E"/>
    <w:rsid w:val="001B3B06"/>
    <w:rsid w:val="001B47E5"/>
    <w:rsid w:val="001B4D65"/>
    <w:rsid w:val="001B769D"/>
    <w:rsid w:val="001B7E76"/>
    <w:rsid w:val="001C3F57"/>
    <w:rsid w:val="001E53C3"/>
    <w:rsid w:val="001F5DAB"/>
    <w:rsid w:val="00205680"/>
    <w:rsid w:val="00212C48"/>
    <w:rsid w:val="00230C7D"/>
    <w:rsid w:val="00232608"/>
    <w:rsid w:val="00233B5F"/>
    <w:rsid w:val="0023605A"/>
    <w:rsid w:val="00236E2C"/>
    <w:rsid w:val="002474BB"/>
    <w:rsid w:val="002620DE"/>
    <w:rsid w:val="002724A0"/>
    <w:rsid w:val="002828BC"/>
    <w:rsid w:val="002856B4"/>
    <w:rsid w:val="002937A2"/>
    <w:rsid w:val="002939C0"/>
    <w:rsid w:val="002942C9"/>
    <w:rsid w:val="002A0B39"/>
    <w:rsid w:val="002A621D"/>
    <w:rsid w:val="002B1C12"/>
    <w:rsid w:val="002B4DBB"/>
    <w:rsid w:val="002C6FC4"/>
    <w:rsid w:val="002C705E"/>
    <w:rsid w:val="002D113A"/>
    <w:rsid w:val="002D763B"/>
    <w:rsid w:val="002E1A23"/>
    <w:rsid w:val="002E1F0E"/>
    <w:rsid w:val="002E6456"/>
    <w:rsid w:val="002E7A02"/>
    <w:rsid w:val="00310444"/>
    <w:rsid w:val="00315706"/>
    <w:rsid w:val="00315E9C"/>
    <w:rsid w:val="0033012D"/>
    <w:rsid w:val="00331EC2"/>
    <w:rsid w:val="00332CA9"/>
    <w:rsid w:val="00354FBD"/>
    <w:rsid w:val="00356A7C"/>
    <w:rsid w:val="00364895"/>
    <w:rsid w:val="00371F5E"/>
    <w:rsid w:val="00381A45"/>
    <w:rsid w:val="00383127"/>
    <w:rsid w:val="003871AC"/>
    <w:rsid w:val="00391C18"/>
    <w:rsid w:val="003A47E5"/>
    <w:rsid w:val="003B2614"/>
    <w:rsid w:val="003B6E01"/>
    <w:rsid w:val="003C444F"/>
    <w:rsid w:val="003C6571"/>
    <w:rsid w:val="003E1511"/>
    <w:rsid w:val="003E1A50"/>
    <w:rsid w:val="003E63F4"/>
    <w:rsid w:val="003E6BCB"/>
    <w:rsid w:val="003E6CC1"/>
    <w:rsid w:val="003F4029"/>
    <w:rsid w:val="003F7A3C"/>
    <w:rsid w:val="00402D50"/>
    <w:rsid w:val="00404121"/>
    <w:rsid w:val="0041662C"/>
    <w:rsid w:val="00447928"/>
    <w:rsid w:val="004734D6"/>
    <w:rsid w:val="00475462"/>
    <w:rsid w:val="00492AA7"/>
    <w:rsid w:val="00494435"/>
    <w:rsid w:val="004B263D"/>
    <w:rsid w:val="004D03D0"/>
    <w:rsid w:val="004E18E2"/>
    <w:rsid w:val="004F089E"/>
    <w:rsid w:val="004F33F8"/>
    <w:rsid w:val="00500A6D"/>
    <w:rsid w:val="00502D8F"/>
    <w:rsid w:val="005258D3"/>
    <w:rsid w:val="00547B6C"/>
    <w:rsid w:val="005528F3"/>
    <w:rsid w:val="0056193A"/>
    <w:rsid w:val="0056397F"/>
    <w:rsid w:val="00565CA7"/>
    <w:rsid w:val="00570BD4"/>
    <w:rsid w:val="00597F20"/>
    <w:rsid w:val="005C0390"/>
    <w:rsid w:val="005C270E"/>
    <w:rsid w:val="005D0F90"/>
    <w:rsid w:val="005E21E9"/>
    <w:rsid w:val="005E2663"/>
    <w:rsid w:val="005E6307"/>
    <w:rsid w:val="00626E46"/>
    <w:rsid w:val="0063390D"/>
    <w:rsid w:val="006342C2"/>
    <w:rsid w:val="00640E06"/>
    <w:rsid w:val="00642193"/>
    <w:rsid w:val="00642D15"/>
    <w:rsid w:val="006505F7"/>
    <w:rsid w:val="00663B4D"/>
    <w:rsid w:val="006810B0"/>
    <w:rsid w:val="006B0A5F"/>
    <w:rsid w:val="006C1418"/>
    <w:rsid w:val="006D1742"/>
    <w:rsid w:val="006D4F14"/>
    <w:rsid w:val="006F18FA"/>
    <w:rsid w:val="007016C3"/>
    <w:rsid w:val="00703AFF"/>
    <w:rsid w:val="00705ADC"/>
    <w:rsid w:val="00713783"/>
    <w:rsid w:val="0072508D"/>
    <w:rsid w:val="0072625F"/>
    <w:rsid w:val="00736A1D"/>
    <w:rsid w:val="00740995"/>
    <w:rsid w:val="0074284E"/>
    <w:rsid w:val="007442D7"/>
    <w:rsid w:val="007578F4"/>
    <w:rsid w:val="00772C1E"/>
    <w:rsid w:val="00776448"/>
    <w:rsid w:val="00781DF8"/>
    <w:rsid w:val="00794161"/>
    <w:rsid w:val="007970D0"/>
    <w:rsid w:val="007A3F84"/>
    <w:rsid w:val="007A500C"/>
    <w:rsid w:val="007C0D4A"/>
    <w:rsid w:val="007C5C6A"/>
    <w:rsid w:val="007C789B"/>
    <w:rsid w:val="007C7D99"/>
    <w:rsid w:val="007D09C9"/>
    <w:rsid w:val="007D40DA"/>
    <w:rsid w:val="007E3DBD"/>
    <w:rsid w:val="007F19B6"/>
    <w:rsid w:val="00814925"/>
    <w:rsid w:val="00821F83"/>
    <w:rsid w:val="00822814"/>
    <w:rsid w:val="00824D27"/>
    <w:rsid w:val="008259FF"/>
    <w:rsid w:val="00826398"/>
    <w:rsid w:val="00831A29"/>
    <w:rsid w:val="00832A14"/>
    <w:rsid w:val="0083438F"/>
    <w:rsid w:val="00834B5F"/>
    <w:rsid w:val="008407F7"/>
    <w:rsid w:val="00842BC0"/>
    <w:rsid w:val="00854D17"/>
    <w:rsid w:val="0085768C"/>
    <w:rsid w:val="0086002A"/>
    <w:rsid w:val="008616B4"/>
    <w:rsid w:val="00867A7C"/>
    <w:rsid w:val="00875ED2"/>
    <w:rsid w:val="008875EB"/>
    <w:rsid w:val="00896C64"/>
    <w:rsid w:val="008A42FD"/>
    <w:rsid w:val="008D7878"/>
    <w:rsid w:val="008E3DF5"/>
    <w:rsid w:val="009117FE"/>
    <w:rsid w:val="0093262B"/>
    <w:rsid w:val="0093362F"/>
    <w:rsid w:val="0093491F"/>
    <w:rsid w:val="0094141C"/>
    <w:rsid w:val="0094182F"/>
    <w:rsid w:val="00944C93"/>
    <w:rsid w:val="00960745"/>
    <w:rsid w:val="00961613"/>
    <w:rsid w:val="00986888"/>
    <w:rsid w:val="00991F94"/>
    <w:rsid w:val="009A1BD4"/>
    <w:rsid w:val="009B62B7"/>
    <w:rsid w:val="009C58C6"/>
    <w:rsid w:val="009E0573"/>
    <w:rsid w:val="00A02FBB"/>
    <w:rsid w:val="00A06A63"/>
    <w:rsid w:val="00A17249"/>
    <w:rsid w:val="00A20A93"/>
    <w:rsid w:val="00A23D55"/>
    <w:rsid w:val="00A24A61"/>
    <w:rsid w:val="00A3463D"/>
    <w:rsid w:val="00A51F95"/>
    <w:rsid w:val="00A57E9A"/>
    <w:rsid w:val="00A60577"/>
    <w:rsid w:val="00A60909"/>
    <w:rsid w:val="00A627AB"/>
    <w:rsid w:val="00A65C98"/>
    <w:rsid w:val="00A724D7"/>
    <w:rsid w:val="00A95360"/>
    <w:rsid w:val="00AA259B"/>
    <w:rsid w:val="00AB0C70"/>
    <w:rsid w:val="00AB6401"/>
    <w:rsid w:val="00AC1395"/>
    <w:rsid w:val="00AD5F22"/>
    <w:rsid w:val="00AE2B18"/>
    <w:rsid w:val="00AE6152"/>
    <w:rsid w:val="00AE79E4"/>
    <w:rsid w:val="00AF3B55"/>
    <w:rsid w:val="00B10B6C"/>
    <w:rsid w:val="00B26EB2"/>
    <w:rsid w:val="00B32408"/>
    <w:rsid w:val="00B502D9"/>
    <w:rsid w:val="00B51106"/>
    <w:rsid w:val="00B65AD9"/>
    <w:rsid w:val="00B7638D"/>
    <w:rsid w:val="00B934DC"/>
    <w:rsid w:val="00BA00EB"/>
    <w:rsid w:val="00BA7C53"/>
    <w:rsid w:val="00BC2614"/>
    <w:rsid w:val="00BC37A7"/>
    <w:rsid w:val="00BE27F3"/>
    <w:rsid w:val="00C02AEF"/>
    <w:rsid w:val="00C05EB7"/>
    <w:rsid w:val="00C12465"/>
    <w:rsid w:val="00C17D10"/>
    <w:rsid w:val="00C2165C"/>
    <w:rsid w:val="00C23719"/>
    <w:rsid w:val="00C361A3"/>
    <w:rsid w:val="00C40BD9"/>
    <w:rsid w:val="00C46EED"/>
    <w:rsid w:val="00C62A21"/>
    <w:rsid w:val="00C6365B"/>
    <w:rsid w:val="00C84A78"/>
    <w:rsid w:val="00CB62E5"/>
    <w:rsid w:val="00CE5F83"/>
    <w:rsid w:val="00CE75C6"/>
    <w:rsid w:val="00CE7E48"/>
    <w:rsid w:val="00CF199A"/>
    <w:rsid w:val="00CF4E7F"/>
    <w:rsid w:val="00CF6111"/>
    <w:rsid w:val="00D01B75"/>
    <w:rsid w:val="00D02923"/>
    <w:rsid w:val="00D10FD6"/>
    <w:rsid w:val="00D22ECC"/>
    <w:rsid w:val="00D268C4"/>
    <w:rsid w:val="00D66065"/>
    <w:rsid w:val="00D73B05"/>
    <w:rsid w:val="00D74072"/>
    <w:rsid w:val="00D85292"/>
    <w:rsid w:val="00D95A73"/>
    <w:rsid w:val="00D97C75"/>
    <w:rsid w:val="00DA7755"/>
    <w:rsid w:val="00DB7BBD"/>
    <w:rsid w:val="00DC2985"/>
    <w:rsid w:val="00DC53BD"/>
    <w:rsid w:val="00DF214C"/>
    <w:rsid w:val="00DF32CF"/>
    <w:rsid w:val="00DF4388"/>
    <w:rsid w:val="00E0367D"/>
    <w:rsid w:val="00E26910"/>
    <w:rsid w:val="00E32EBC"/>
    <w:rsid w:val="00E33F94"/>
    <w:rsid w:val="00E52724"/>
    <w:rsid w:val="00E53143"/>
    <w:rsid w:val="00E540FB"/>
    <w:rsid w:val="00E5760F"/>
    <w:rsid w:val="00E60630"/>
    <w:rsid w:val="00E751AF"/>
    <w:rsid w:val="00E92DBE"/>
    <w:rsid w:val="00EB1C66"/>
    <w:rsid w:val="00EB449B"/>
    <w:rsid w:val="00EB6C7A"/>
    <w:rsid w:val="00EE7512"/>
    <w:rsid w:val="00EE7CA0"/>
    <w:rsid w:val="00EF1033"/>
    <w:rsid w:val="00F0716F"/>
    <w:rsid w:val="00F22971"/>
    <w:rsid w:val="00F26815"/>
    <w:rsid w:val="00F27CFE"/>
    <w:rsid w:val="00F41216"/>
    <w:rsid w:val="00F43410"/>
    <w:rsid w:val="00F60650"/>
    <w:rsid w:val="00F65FFC"/>
    <w:rsid w:val="00F70832"/>
    <w:rsid w:val="00F94B1B"/>
    <w:rsid w:val="00FA7D25"/>
    <w:rsid w:val="00FC1008"/>
    <w:rsid w:val="00FE00C9"/>
    <w:rsid w:val="00FE7CF1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3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4435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Normal"/>
    <w:uiPriority w:val="99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435"/>
    <w:rPr>
      <w:rFonts w:ascii="Calibri" w:hAnsi="Calibri" w:cs="Times New Roman"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4435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435"/>
    <w:rPr>
      <w:rFonts w:eastAsia="Times New Roman" w:cs="Times New Roman"/>
      <w:sz w:val="20"/>
      <w:szCs w:val="20"/>
      <w:lang w:val="uk-UA"/>
    </w:rPr>
  </w:style>
  <w:style w:type="paragraph" w:customStyle="1" w:styleId="a">
    <w:name w:val="Назва документа"/>
    <w:basedOn w:val="Normal"/>
    <w:next w:val="Normal"/>
    <w:uiPriority w:val="99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uiPriority w:val="99"/>
    <w:rsid w:val="00494435"/>
    <w:rPr>
      <w:rFonts w:ascii="Times New Roman" w:hAnsi="Times New Roman"/>
      <w:sz w:val="24"/>
    </w:rPr>
  </w:style>
  <w:style w:type="paragraph" w:customStyle="1" w:styleId="Style21">
    <w:name w:val="Style21"/>
    <w:basedOn w:val="Normal"/>
    <w:uiPriority w:val="99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uiPriority w:val="99"/>
    <w:rsid w:val="00494435"/>
    <w:rPr>
      <w:rFonts w:ascii="Times New Roman" w:hAnsi="Times New Roman"/>
      <w:b/>
      <w:sz w:val="22"/>
    </w:rPr>
  </w:style>
  <w:style w:type="character" w:customStyle="1" w:styleId="rvts23">
    <w:name w:val="rvts23"/>
    <w:uiPriority w:val="99"/>
    <w:rsid w:val="00494435"/>
  </w:style>
  <w:style w:type="paragraph" w:styleId="Subtitle">
    <w:name w:val="Subtitle"/>
    <w:basedOn w:val="Normal"/>
    <w:next w:val="Normal"/>
    <w:link w:val="SubtitleChar"/>
    <w:uiPriority w:val="99"/>
    <w:qFormat/>
    <w:rsid w:val="00736A1D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iCs/>
      <w:color w:val="666666"/>
      <w:sz w:val="48"/>
      <w:szCs w:val="48"/>
      <w:lang w:val="ru-RU"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6A1D"/>
    <w:rPr>
      <w:rFonts w:ascii="Georgia" w:hAnsi="Georgia" w:cs="Georgia"/>
      <w:i/>
      <w:iCs/>
      <w:color w:val="666666"/>
      <w:sz w:val="48"/>
      <w:szCs w:val="48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736A1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0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923"/>
    <w:rPr>
      <w:rFonts w:ascii="Calibri" w:hAnsi="Calibri" w:cs="Times New Roman"/>
      <w:sz w:val="22"/>
      <w:lang w:val="uk-UA"/>
    </w:rPr>
  </w:style>
  <w:style w:type="character" w:customStyle="1" w:styleId="rvts9">
    <w:name w:val="rvts9"/>
    <w:basedOn w:val="DefaultParagraphFont"/>
    <w:uiPriority w:val="99"/>
    <w:rsid w:val="00A51F9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527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724"/>
    <w:rPr>
      <w:rFonts w:ascii="Calibri" w:hAnsi="Calibri" w:cs="Times New Roman"/>
      <w:sz w:val="22"/>
      <w:lang w:val="uk-UA"/>
    </w:rPr>
  </w:style>
  <w:style w:type="paragraph" w:customStyle="1" w:styleId="rvps2">
    <w:name w:val="rvps2"/>
    <w:basedOn w:val="Normal"/>
    <w:uiPriority w:val="99"/>
    <w:rsid w:val="00F6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6E0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D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3A"/>
    <w:rPr>
      <w:rFonts w:ascii="Segoe UI" w:hAnsi="Segoe UI" w:cs="Segoe UI"/>
      <w:sz w:val="18"/>
      <w:szCs w:val="18"/>
      <w:lang w:val="uk-UA"/>
    </w:rPr>
  </w:style>
  <w:style w:type="character" w:styleId="Hyperlink">
    <w:name w:val="Hyperlink"/>
    <w:basedOn w:val="DefaultParagraphFont"/>
    <w:uiPriority w:val="99"/>
    <w:rsid w:val="006505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6</Pages>
  <Words>7276</Words>
  <Characters>4148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303nachalnica</dc:creator>
  <cp:keywords/>
  <dc:description/>
  <cp:lastModifiedBy>Лена</cp:lastModifiedBy>
  <cp:revision>17</cp:revision>
  <cp:lastPrinted>2018-11-01T09:44:00Z</cp:lastPrinted>
  <dcterms:created xsi:type="dcterms:W3CDTF">2018-10-27T12:08:00Z</dcterms:created>
  <dcterms:modified xsi:type="dcterms:W3CDTF">2018-11-01T10:00:00Z</dcterms:modified>
</cp:coreProperties>
</file>