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E6" w:rsidRDefault="005230E6" w:rsidP="004B08C2">
      <w:pPr>
        <w:ind w:left="0" w:right="-3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ПОРІВНЯЛЬНА ТАБЛИЦЯ</w:t>
      </w:r>
    </w:p>
    <w:p w:rsidR="005230E6" w:rsidRDefault="005230E6">
      <w:pPr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проекту постанови Кабінету Міністрів України</w:t>
      </w:r>
    </w:p>
    <w:p w:rsidR="005230E6" w:rsidRDefault="005230E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</w:t>
      </w:r>
    </w:p>
    <w:p w:rsidR="005230E6" w:rsidRDefault="005230E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36"/>
        <w:gridCol w:w="7337"/>
      </w:tblGrid>
      <w:tr w:rsidR="00DA6099" w:rsidRPr="00DA6099" w:rsidTr="00C74DA7">
        <w:tc>
          <w:tcPr>
            <w:tcW w:w="7336" w:type="dxa"/>
          </w:tcPr>
          <w:p w:rsidR="00EB6C22" w:rsidRPr="006401C8" w:rsidRDefault="00EB6C22" w:rsidP="00465D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A6099" w:rsidRPr="006401C8" w:rsidRDefault="00DA6099" w:rsidP="006401C8">
            <w:pPr>
              <w:ind w:left="-3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Зміст положення (норми) чинного акта </w:t>
            </w:r>
            <w:r w:rsidR="006401C8"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законодавства</w:t>
            </w:r>
          </w:p>
          <w:p w:rsidR="00EB6C22" w:rsidRPr="006401C8" w:rsidRDefault="00EB6C22" w:rsidP="00465D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337" w:type="dxa"/>
          </w:tcPr>
          <w:p w:rsidR="00EB6C22" w:rsidRPr="006401C8" w:rsidRDefault="00EB6C22" w:rsidP="00465D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A6099" w:rsidRPr="006401C8" w:rsidRDefault="00DA6099" w:rsidP="00465D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</w:t>
            </w:r>
            <w:proofErr w:type="gramStart"/>
            <w:r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proofErr w:type="spellEnd"/>
            <w:proofErr w:type="gramEnd"/>
            <w:r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01C8"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відповідного </w:t>
            </w:r>
            <w:proofErr w:type="spellStart"/>
            <w:r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положення</w:t>
            </w:r>
            <w:proofErr w:type="spellEnd"/>
            <w:r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норми</w:t>
            </w:r>
            <w:proofErr w:type="spellEnd"/>
            <w:r w:rsidRPr="00640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проекту акта</w:t>
            </w:r>
          </w:p>
          <w:p w:rsidR="00EB6C22" w:rsidRPr="006401C8" w:rsidRDefault="00EB6C22" w:rsidP="00465D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A6099" w:rsidRPr="00DA6099" w:rsidTr="00175C2C">
        <w:tc>
          <w:tcPr>
            <w:tcW w:w="14673" w:type="dxa"/>
            <w:gridSpan w:val="2"/>
          </w:tcPr>
          <w:p w:rsidR="007903E3" w:rsidRDefault="007903E3" w:rsidP="00DA6099">
            <w:pPr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A6099" w:rsidRDefault="00DA6099" w:rsidP="00DA6099">
            <w:pPr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Порядок державної реєстрації (перереєстрації), зняття з обліку автомобілів, автобусів, </w:t>
            </w:r>
            <w:r w:rsidR="00790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</w:t>
            </w:r>
            <w:r w:rsidR="00790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затверджений постановою Кабінету Міністрів України від 7 вересня 1998 р</w:t>
            </w:r>
            <w:r w:rsidR="00790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1388</w:t>
            </w:r>
          </w:p>
          <w:p w:rsidR="00DA6099" w:rsidRDefault="00DA6099" w:rsidP="006A7D4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A6099" w:rsidRPr="009A07D7" w:rsidTr="00C74DA7">
        <w:tc>
          <w:tcPr>
            <w:tcW w:w="7336" w:type="dxa"/>
          </w:tcPr>
          <w:p w:rsidR="005D008F" w:rsidRDefault="005D008F" w:rsidP="00BB5CC7">
            <w:pPr>
              <w:ind w:left="0" w:firstLine="73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 Державна реєстрація (перереєстрація) транспортних засобів проводиться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підставі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власників,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поданих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особисто або уповноваженим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представником,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документів,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посвідчують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їх особу,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підтверджують повноваження представника (для фізичних осіб -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нотаріально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посвідчена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довіреність),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також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правомірність придбання,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отримання,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ввезення,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митного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оформлення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(далі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правомірність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придбання)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засобів,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відповідність конструкції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засобів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установленим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вимогам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безпеки дорожнього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руху,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також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вимогам, які є підставою для внесення змін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реєстраційних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документів.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 допускаються до державної реєстрації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транспортні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засоби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правим розташуванням керма (за винятком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засобів,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які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були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зареєстровані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підрозділах Державтоінспекції до набрання чинності Законом України </w:t>
            </w:r>
            <w:r w:rsidR="009A07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BB5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B5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дорожній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A07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рух»</w:t>
            </w:r>
            <w:r w:rsidR="00BB5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  <w:p w:rsidR="00BB5CC7" w:rsidRDefault="00BB5CC7" w:rsidP="00BB5CC7">
            <w:pPr>
              <w:ind w:left="0" w:firstLine="73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</w:t>
            </w:r>
          </w:p>
          <w:p w:rsidR="00DA6099" w:rsidRPr="005D008F" w:rsidRDefault="005D008F" w:rsidP="00BB5CC7">
            <w:pPr>
              <w:ind w:left="0" w:firstLine="73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Державна реєстрація транспортних засобів проводиться за умови сплати їх власниками передбачених законодавством податків і зборів (обов'язкових платежів),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 також внесення в установленому порядку платежів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  <w:t>проведення</w:t>
            </w:r>
            <w:r w:rsidR="00F17530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  <w:t>огляду</w:t>
            </w:r>
            <w:r w:rsidR="00F17530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  <w:t>засобів,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державну реєстрацію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(перереєстрацію),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зняття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обліку,</w:t>
            </w:r>
            <w:r w:rsid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D0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відшкодування вартості бланків реєстраційних документів та номерних знаків.</w:t>
            </w:r>
          </w:p>
        </w:tc>
        <w:tc>
          <w:tcPr>
            <w:tcW w:w="7337" w:type="dxa"/>
          </w:tcPr>
          <w:p w:rsidR="00BB5CC7" w:rsidRPr="00BB5CC7" w:rsidRDefault="00BB5CC7" w:rsidP="00BB5C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8. Державна реєстрація (перереєстрація) транспортних засобів проводиться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підставі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заяв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власників,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поданих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особисто або уповноваженим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представником,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документів,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посвідчують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їх особу,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підтверджують повноваження представника (для фізичних осіб -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нотаріально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посвідчена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довіреність),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також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правомірність придбання,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отримання,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ввезення,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митного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оформлення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(далі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 правомірність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придбання)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засобів,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відповідність конструкції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засобів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установленим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вимогам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безпеки дорожнього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руху,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також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вимогам, які є підставою для внесення змін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реєстраційних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документів.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Не допускаються до державної реєстрації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транспортні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засоби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правим розташуванням керма (за винятком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засобів,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були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зареєстровані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 підрозділах Державтоінспекції до набрання </w:t>
            </w:r>
            <w:r w:rsidR="009A07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чинності Законом України «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дорожній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A07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рух»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  <w:p w:rsidR="00BB5CC7" w:rsidRPr="00BB5CC7" w:rsidRDefault="00BB5CC7" w:rsidP="00BB5C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…</w:t>
            </w:r>
          </w:p>
          <w:p w:rsidR="00DA6099" w:rsidRPr="00BB5CC7" w:rsidRDefault="00BB5CC7" w:rsidP="00BB5C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Державна реєстрація </w:t>
            </w:r>
            <w:r w:rsidRPr="00BB5C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(перереєстрація), зняття з обліку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транспортних засобів проводиться за умови сплати їх власниками передбачених законодавством податків і зборів (обов'язкових платежів),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 також внесення в установленому порядку платежів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проведення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огляду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засобів,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державну реєстрацію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(перереєстрацію),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зняття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обліку,</w:t>
            </w:r>
            <w:r w:rsidR="00F17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B5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відшкодування вартості бланків реєстраційних документів та номерних знаків.</w:t>
            </w:r>
          </w:p>
        </w:tc>
      </w:tr>
      <w:tr w:rsidR="003D6713" w:rsidRPr="009A07D7" w:rsidTr="00C74DA7">
        <w:tc>
          <w:tcPr>
            <w:tcW w:w="7336" w:type="dxa"/>
          </w:tcPr>
          <w:p w:rsidR="003D6713" w:rsidRPr="003D6713" w:rsidRDefault="003D6713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15. Під час проведення державної реєстрації (перереєстрації), зняття з обліку транспортні засоби (крім випадків реєстрації нових транспортних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засобів,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перереєстрації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засобів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 зв’язку із зміною найменування та адреси юридичних осіб, прізвища, імені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батькові,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проживання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фізичних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осіб, які є власниками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транспортних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засобів,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вибракування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цілому) підлягають огляду фахівцями експертної служби МВС з метою звірення ідентифікаційних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номерів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складових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частин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номерами, зазначеними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поданих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власником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реєстрації документах. За результатами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огляду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документах,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які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подаються для державної реєстрації,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робиться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відповідна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відмітка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складається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 огляду. Експертне дослідження транспортного засобу і реєстраційних документів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транспортний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засіб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(інших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документів,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які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 підставою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реєстрації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транспортного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засобу)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проводиться за заявою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власника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метою визначення справжності ідентифікаційних номерів транспортного засобу і реєстраційних документів. Експертне дослідження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проводиться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фахівцями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експертної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служби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МВС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або судовими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експертами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державних спеціалізованих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установ, які мають присвоєну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 установленому Законом України “Про судову експертизу”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порядку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кваліфікацію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судового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експерта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правом проведення досліджень за відповідними експертними спеціальностями. За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результатами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складається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висновок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експертного дослідження,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який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додається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документів,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подаються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державної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реєстрації.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Установлення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відповідності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конструкції, перевірка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Єдиним державним реєстром МВС, автоматизованою базою даних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розшукувані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транспортні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засоби,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банком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даних Генерального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секретаріату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Інтерполу,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перевірка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відомостей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обмеження відчуження за Державним реєстром обтяжень рухомого майна та відомостей про документи, що посвідчують особу та підтверджують громадянство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України,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 також про реєстрацію місця проживання за Єдиним державним демографічним реєстром проводяться уповноваженими особами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сервісного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центру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МВС.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D6713" w:rsidRDefault="003D6713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…</w:t>
            </w: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17530" w:rsidRDefault="00F17530" w:rsidP="003D6713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14C4F" w:rsidRDefault="00E14C4F" w:rsidP="00F17530">
            <w:pPr>
              <w:ind w:left="0" w:firstLine="73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17530" w:rsidRPr="003D6713" w:rsidRDefault="00F17530" w:rsidP="00F17530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Після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перевірок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заяві власника транспортного засобу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робиться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щодо наявності або відсутності відомостей 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розшук,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арешт,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заборону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зняття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обліку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та/або перереєстрацію,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відомостей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обмеження відчуження в Державному реєстрі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обтяжень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рухомого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майна,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засвідчується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підписом уповноваженої особи сервісного центру МВС із зазначенням прізвища, імені,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батькові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337" w:type="dxa"/>
          </w:tcPr>
          <w:p w:rsidR="003D6713" w:rsidRPr="003D6713" w:rsidRDefault="003D6713" w:rsidP="003D67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15. </w:t>
            </w:r>
            <w:r w:rsidRPr="003D6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 час проведення державної реєстрації (перереєстрації), зняття з обліку (крім випадків реєстрації нових транспортних засобів, перереєстрації транспортних засобів у зв’язку із зміною найменування та адреси юридичних осіб, прізвища, імені чи по батькові, місця проживання фізичних осіб, які є власниками транспортних засобів, вибракування їх у цілому) транспортні засоби, а також подані власником для реєстрації документи підлягають огляду та експертному дослідженню.</w:t>
            </w:r>
          </w:p>
          <w:p w:rsidR="003D6713" w:rsidRDefault="003D6713" w:rsidP="009A07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D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Огляд проводиться працівниками Експертної служби МВС з метою звірення ідентифікаційних номерів їх складових частин з номерами, зазначеними в поданих власником для </w:t>
            </w:r>
            <w:r w:rsidRPr="00BB5D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державної</w:t>
            </w:r>
            <w:r w:rsidRPr="00BB5D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реєстрації </w:t>
            </w:r>
            <w:r w:rsidRPr="00BB5D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(перереєстрації), зняття з обліку</w:t>
            </w:r>
            <w:r w:rsidRPr="00BB5D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документах 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 конструкційних</w:t>
            </w:r>
            <w:r w:rsidRPr="00BB5D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особливостей транспортного засобу.</w:t>
            </w:r>
            <w:r w:rsidRPr="0053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35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результатами огляду в заяві </w:t>
            </w:r>
            <w:r w:rsidR="009A07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Pr="007D35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проведення державної реєстрації, (перереєстрації), зняття з обліку транспортного засобу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працівниками Експертної служби МВС робиться відповідна відмітка та вносяться відомості до Єдиного державного реєстру МВС. </w:t>
            </w:r>
            <w:r w:rsidRPr="00E15B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огляд подаються транспортні засоби, які пройшли </w:t>
            </w:r>
            <w:r w:rsidRPr="00E15B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експертне дослідження.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Огляд проводиться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в </w:t>
            </w:r>
            <w:bookmarkStart w:id="1" w:name="OLE_LINK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сервісному центрі МВС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до якого подано </w:t>
            </w:r>
            <w:r w:rsidRPr="00202E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заяву 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проведення державної реєстрації (перереєстрації), зняття з обліку транспортного засобу,</w:t>
            </w:r>
            <w:r w:rsidRPr="00B16E73">
              <w:rPr>
                <w:lang w:val="uk-UA"/>
              </w:rPr>
              <w:t xml:space="preserve"> </w:t>
            </w:r>
            <w:r w:rsidRPr="00B16E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працівником Експертної служби МВС, </w:t>
            </w:r>
            <w:r w:rsidRPr="002A4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підпорядкованим керівнику цього сервісного центру МВС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</w:t>
            </w:r>
            <w:r w:rsidRPr="00BC7A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</w:t>
            </w:r>
            <w:r w:rsidRPr="00BC7A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відсутності можливості</w:t>
            </w:r>
            <w:r w:rsidRPr="00BC7A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достав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транспортн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зас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C7A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своїм ходом до місця державної реєстрації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або необхідності одночасно огля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нути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десят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більше транспортних засобів одного власника, 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а </w:t>
            </w:r>
            <w:r w:rsidRPr="00202E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його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обґрунтованою </w:t>
            </w:r>
            <w:r w:rsidRPr="00202E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письмовою заявою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23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їх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огляд може проводитися за фактичним місцем знаходження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446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Такий огляд проводиться тільки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оформлення </w:t>
            </w:r>
            <w:r w:rsidR="001C231C" w:rsidRPr="00202E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заяви 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1C2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проведення державної реєстрації (перереєстрації), зняття з обліку транспортного засобу або видачу т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имчасового реєстраційного талона</w:t>
            </w:r>
            <w:r w:rsidR="001C2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найближчому до місця знаходження транспортного засобу сервісному центрі МВС та за наявності практичної можливості здійснити такий виїзд </w:t>
            </w:r>
            <w:r w:rsidRPr="00202E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працівником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Експертної служби МВС. У так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</w:t>
            </w:r>
            <w:r w:rsidRPr="00CF61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оставляння працівника Експертної служби МВС до місця знаходження транспортного засобу та повернення його на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обоче місце по</w:t>
            </w:r>
            <w:r w:rsidRPr="00CF61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кладається на власника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транспортного засобу</w:t>
            </w:r>
            <w:r w:rsidRPr="00CF61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3D6713" w:rsidRPr="00D8066F" w:rsidRDefault="003D6713" w:rsidP="001656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3300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кспертн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3300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дослідження транспортного засобу і </w:t>
            </w:r>
            <w:r w:rsidRPr="006E31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их</w:t>
            </w:r>
            <w:r w:rsidRPr="006E31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власником для реєстрації документ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проводиться </w:t>
            </w:r>
            <w:r w:rsidRPr="003300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 метою встановлення відсутності чи наявності ознак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пошкодження, </w:t>
            </w:r>
            <w:r w:rsidRPr="003300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знищення, підробки або заміни номерів двигуна, шасі або кузова, або заміни панелі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(таблички)</w:t>
            </w:r>
            <w:r w:rsidRPr="003300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 ідентифікаційним номером транспортного </w:t>
            </w:r>
            <w:r w:rsidRPr="006901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засобу та підроблення реєстраційних документів (підроблення бланка </w:t>
            </w:r>
            <w:r w:rsidRPr="006901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документа та внесення змін до змісту документа).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Експертне дослідження проводиться працівниками Експертної служби МВС або інших державних спеціалізованих установ, які мають присвоєну в установленому Законом України «Про судову експертизу» порядку кваліфікацію судового експерта з правом проведення досліджень</w:t>
            </w:r>
            <w:r w:rsidRPr="005474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за відповідними експертними спеціальностями.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3D6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 результатами дослідження складається висновок експертного дослідження, який додається до документів, що подаються для державної реєстрації (перереєстрації), зняття з обліку транспортного засоб</w:t>
            </w:r>
            <w:r w:rsidRPr="007C5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 разі проведення </w:t>
            </w:r>
            <w:r w:rsidRPr="00D806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декількох </w:t>
            </w:r>
            <w:r w:rsidRPr="00AE5B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операцій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державної реєстрації (перереєстрації), зняття з обліку з одним транспортним засобом в одному сервісному центрі М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 упродовж одного робочого дня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висновок</w:t>
            </w:r>
            <w:r w:rsid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експертного дослідження додається лише до документів, які стали підставою для проведення першої з </w:t>
            </w:r>
            <w:r w:rsidRPr="00AE5B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таких операцій, </w:t>
            </w:r>
            <w:r w:rsidR="009A07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 при проведенні інших операцій у</w:t>
            </w:r>
            <w:r w:rsidRPr="00AE5B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заяві зазначаються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реквізити цього висновку експертного дослідження.</w:t>
            </w:r>
          </w:p>
          <w:p w:rsidR="003D6713" w:rsidRPr="00F17530" w:rsidRDefault="003D6713" w:rsidP="001656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Установлення відповідності конструкції</w:t>
            </w:r>
            <w:r w:rsidR="00F17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вимогам стандартів, правил і нормативів, </w:t>
            </w:r>
            <w:r w:rsidRPr="00F17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перевірка за Єдиним державним реєстром МВС</w:t>
            </w:r>
            <w:r w:rsidRPr="00F17530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F17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автоматизованою базою даних про розшукувані транспортні засоби, Державним реєстром обтяжень рухомого майна та перевірка відомостей про документи, що посвідчують особу та підтверджують громадянство України, а також відомостей щодо місця реєстрації, згідно з інформацією Єдиного державного демографічного реєстру проводяться уповноваженими особами сервісного центру МВС.</w:t>
            </w:r>
          </w:p>
          <w:p w:rsidR="003D6713" w:rsidRDefault="003D6713" w:rsidP="001656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Установлення відповідності конструкції транспортних засобів проводиться на підставі результатів огляду або сертифіката відповідності, виданого згідно з порядком затвердження конструкції транспортних засобів, їх частин та обладнання.</w:t>
            </w:r>
          </w:p>
          <w:p w:rsidR="003D6713" w:rsidRDefault="00F17530" w:rsidP="001656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заяві власника транспортного засобу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наявності або відсутності відомостей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розшук,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арешт,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та/або перереєстрацію,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обмеження відчуження в Державному 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обтяжень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рухомого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підписом уповноваженої особи сервісного центру МВС із </w:t>
            </w:r>
            <w:r w:rsidR="008D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зазначенням прізвища, імені,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дати.</w:t>
            </w:r>
          </w:p>
        </w:tc>
      </w:tr>
      <w:tr w:rsidR="003D6713" w:rsidTr="00C74DA7">
        <w:tc>
          <w:tcPr>
            <w:tcW w:w="7336" w:type="dxa"/>
          </w:tcPr>
          <w:p w:rsidR="00F17530" w:rsidRPr="00F17530" w:rsidRDefault="00F17530" w:rsidP="00F17530">
            <w:pPr>
              <w:ind w:left="0" w:firstLine="73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40. Зняття з обліку транспортних засобів проводиться після їх огляду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сервісному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МВС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власника, документа,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посвідчує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напису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нотаріуса, постанови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державного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приватного виконавця або рішення суду. </w:t>
            </w:r>
          </w:p>
          <w:p w:rsidR="00F17530" w:rsidRPr="00F17530" w:rsidRDefault="00F17530" w:rsidP="00F17530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Дозволяється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проводити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огляд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транспортних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засобів,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які знімаються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обліку, за їх місцезнаходженням з дотриманням вимог пункту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цього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Порядку.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огляд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оформляється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фахівцем експертної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служби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МВС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актом,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засвідчується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7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його підписом та скріплюється печаткою адміністратора сервісного центру МВС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3D6713" w:rsidRDefault="003D6713" w:rsidP="00F17530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trike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337" w:type="dxa"/>
          </w:tcPr>
          <w:p w:rsidR="003D6713" w:rsidRDefault="003D6713" w:rsidP="00B35142">
            <w:pPr>
              <w:ind w:left="0" w:firstLine="7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  <w:r w:rsidR="00F17530" w:rsidRPr="00F17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Зняття з обліку транспортних засобів проводиться після їх огляду </w:t>
            </w:r>
            <w:r w:rsidRPr="00015F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 w:rsidRPr="00015F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15F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експертного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заяви власника, документа, що посвідчує особу, виконавчого напису нотаріуса, постанови державного виконавця або рішення суду. </w:t>
            </w:r>
          </w:p>
          <w:p w:rsidR="003D6713" w:rsidRDefault="00F17530" w:rsidP="00B35142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  <w:r w:rsidR="003D67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иключити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3D6713" w:rsidRDefault="003D6713" w:rsidP="00B35142">
            <w:pPr>
              <w:ind w:left="0" w:firstLine="73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F17530" w:rsidRPr="00F17530" w:rsidRDefault="00F17530" w:rsidP="00F1753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2E53" w:rsidRDefault="00B52E53" w:rsidP="00F17530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7530" w:rsidRPr="00F17530" w:rsidRDefault="001B016A" w:rsidP="00F17530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="00F17530" w:rsidRPr="00F1753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Департаменту юридичного забезпечення</w:t>
      </w:r>
    </w:p>
    <w:p w:rsidR="005230E6" w:rsidRDefault="00F17530" w:rsidP="00F17530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753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Міністерства внутрішніх 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 України</w:t>
      </w:r>
      <w:r w:rsidRPr="00F175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="001B01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Д.В. </w:t>
      </w:r>
      <w:proofErr w:type="spellStart"/>
      <w:r w:rsidR="001B016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Горбась</w:t>
      </w:r>
      <w:proofErr w:type="spellEnd"/>
    </w:p>
    <w:sectPr w:rsidR="005230E6" w:rsidSect="00B52E53">
      <w:headerReference w:type="default" r:id="rId7"/>
      <w:pgSz w:w="16838" w:h="11906" w:orient="landscape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91" w:rsidRDefault="00AF6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F6091" w:rsidRDefault="00AF6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91" w:rsidRDefault="00AF6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F6091" w:rsidRDefault="00AF6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6" w:rsidRDefault="008B4A4F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5230E6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94C47">
      <w:rPr>
        <w:rFonts w:ascii="Times New Roman" w:hAnsi="Times New Roman" w:cs="Times New Roman"/>
        <w:noProof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5230E6" w:rsidRDefault="005230E6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E6"/>
    <w:rsid w:val="00015F01"/>
    <w:rsid w:val="0003639F"/>
    <w:rsid w:val="00041D42"/>
    <w:rsid w:val="00060D05"/>
    <w:rsid w:val="00067744"/>
    <w:rsid w:val="00084F6F"/>
    <w:rsid w:val="00096649"/>
    <w:rsid w:val="00147AA8"/>
    <w:rsid w:val="001B016A"/>
    <w:rsid w:val="001B5CC3"/>
    <w:rsid w:val="001C231C"/>
    <w:rsid w:val="00202E25"/>
    <w:rsid w:val="002828FB"/>
    <w:rsid w:val="002A4ACD"/>
    <w:rsid w:val="002D71E8"/>
    <w:rsid w:val="00323EE5"/>
    <w:rsid w:val="00330044"/>
    <w:rsid w:val="003336A9"/>
    <w:rsid w:val="00334EED"/>
    <w:rsid w:val="003D6713"/>
    <w:rsid w:val="00461EBB"/>
    <w:rsid w:val="00466FBD"/>
    <w:rsid w:val="004844CD"/>
    <w:rsid w:val="004876AB"/>
    <w:rsid w:val="004B08C2"/>
    <w:rsid w:val="004B5786"/>
    <w:rsid w:val="004C6236"/>
    <w:rsid w:val="004E4C14"/>
    <w:rsid w:val="004E5964"/>
    <w:rsid w:val="005230E6"/>
    <w:rsid w:val="005326E2"/>
    <w:rsid w:val="005416DA"/>
    <w:rsid w:val="0054745E"/>
    <w:rsid w:val="00594C47"/>
    <w:rsid w:val="005A3B42"/>
    <w:rsid w:val="005D008F"/>
    <w:rsid w:val="005E26BA"/>
    <w:rsid w:val="006401C8"/>
    <w:rsid w:val="00656C4E"/>
    <w:rsid w:val="006901F0"/>
    <w:rsid w:val="006C2EB2"/>
    <w:rsid w:val="006E317C"/>
    <w:rsid w:val="00755273"/>
    <w:rsid w:val="007903E3"/>
    <w:rsid w:val="00790D6C"/>
    <w:rsid w:val="007C5226"/>
    <w:rsid w:val="007D3588"/>
    <w:rsid w:val="00801EC7"/>
    <w:rsid w:val="008B4A4F"/>
    <w:rsid w:val="008D7C9E"/>
    <w:rsid w:val="009854B5"/>
    <w:rsid w:val="009A07D7"/>
    <w:rsid w:val="009A291D"/>
    <w:rsid w:val="009B1D29"/>
    <w:rsid w:val="009C20F1"/>
    <w:rsid w:val="009D2452"/>
    <w:rsid w:val="009F198D"/>
    <w:rsid w:val="00A64644"/>
    <w:rsid w:val="00AD40BE"/>
    <w:rsid w:val="00AD6447"/>
    <w:rsid w:val="00AE5BDD"/>
    <w:rsid w:val="00AF2652"/>
    <w:rsid w:val="00AF6091"/>
    <w:rsid w:val="00B16E73"/>
    <w:rsid w:val="00B52E53"/>
    <w:rsid w:val="00B63446"/>
    <w:rsid w:val="00BA6376"/>
    <w:rsid w:val="00BB5CC7"/>
    <w:rsid w:val="00BB5D5B"/>
    <w:rsid w:val="00BC7AA1"/>
    <w:rsid w:val="00C35A5A"/>
    <w:rsid w:val="00C8467B"/>
    <w:rsid w:val="00CF61B0"/>
    <w:rsid w:val="00D2265F"/>
    <w:rsid w:val="00D8066F"/>
    <w:rsid w:val="00DA6099"/>
    <w:rsid w:val="00E14C4F"/>
    <w:rsid w:val="00E15BC0"/>
    <w:rsid w:val="00E22D4B"/>
    <w:rsid w:val="00E45570"/>
    <w:rsid w:val="00EB099A"/>
    <w:rsid w:val="00EB6C22"/>
    <w:rsid w:val="00EC1F9C"/>
    <w:rsid w:val="00F17530"/>
    <w:rsid w:val="00F25F9F"/>
    <w:rsid w:val="00F9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13" w:right="113"/>
      <w:jc w:val="center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2"/>
      <w:szCs w:val="22"/>
      <w:lang w:val="ru-RU" w:eastAsia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rvts0">
    <w:name w:val="rvts0"/>
    <w:uiPriority w:val="99"/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  <w:lang w:val="ru-RU" w:eastAsia="en-US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left="0" w:right="0"/>
    </w:pPr>
    <w:rPr>
      <w:rFonts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hAnsi="Times New Roman" w:cs="Times New Roman"/>
      <w:sz w:val="28"/>
      <w:szCs w:val="28"/>
      <w:lang w:val="uk-UA" w:eastAsia="x-none"/>
    </w:rPr>
  </w:style>
  <w:style w:type="character" w:styleId="aa">
    <w:name w:val="Hyperlink"/>
    <w:basedOn w:val="a0"/>
    <w:uiPriority w:val="99"/>
    <w:rPr>
      <w:color w:val="auto"/>
      <w:u w:val="none"/>
      <w:effect w:val="none"/>
    </w:rPr>
  </w:style>
  <w:style w:type="paragraph" w:styleId="21">
    <w:name w:val="Body Text Indent 2"/>
    <w:basedOn w:val="a"/>
    <w:link w:val="22"/>
    <w:uiPriority w:val="99"/>
    <w:pPr>
      <w:ind w:left="0" w:firstLine="738"/>
      <w:jc w:val="both"/>
    </w:pPr>
    <w:rPr>
      <w:rFonts w:cs="Times New Roman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Calibri" w:hAnsi="Calibri" w:cs="Calibri"/>
      <w:lang w:val="x-none" w:eastAsia="en-US"/>
    </w:rPr>
  </w:style>
  <w:style w:type="paragraph" w:styleId="ab">
    <w:name w:val="Block Text"/>
    <w:basedOn w:val="a"/>
    <w:uiPriority w:val="99"/>
    <w:pPr>
      <w:autoSpaceDE w:val="0"/>
      <w:autoSpaceDN w:val="0"/>
      <w:adjustRightInd w:val="0"/>
      <w:spacing w:line="230" w:lineRule="auto"/>
      <w:ind w:firstLine="539"/>
      <w:jc w:val="both"/>
    </w:pPr>
    <w:rPr>
      <w:rFonts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AA1"/>
    <w:rPr>
      <w:rFonts w:ascii="Courier New" w:eastAsia="Times New Roman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4B08C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B08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13" w:right="113"/>
      <w:jc w:val="center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2"/>
      <w:szCs w:val="22"/>
      <w:lang w:val="ru-RU" w:eastAsia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rvts0">
    <w:name w:val="rvts0"/>
    <w:uiPriority w:val="99"/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  <w:lang w:val="ru-RU" w:eastAsia="en-US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left="0" w:right="0"/>
    </w:pPr>
    <w:rPr>
      <w:rFonts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hAnsi="Times New Roman" w:cs="Times New Roman"/>
      <w:sz w:val="28"/>
      <w:szCs w:val="28"/>
      <w:lang w:val="uk-UA" w:eastAsia="x-none"/>
    </w:rPr>
  </w:style>
  <w:style w:type="character" w:styleId="aa">
    <w:name w:val="Hyperlink"/>
    <w:basedOn w:val="a0"/>
    <w:uiPriority w:val="99"/>
    <w:rPr>
      <w:color w:val="auto"/>
      <w:u w:val="none"/>
      <w:effect w:val="none"/>
    </w:rPr>
  </w:style>
  <w:style w:type="paragraph" w:styleId="21">
    <w:name w:val="Body Text Indent 2"/>
    <w:basedOn w:val="a"/>
    <w:link w:val="22"/>
    <w:uiPriority w:val="99"/>
    <w:pPr>
      <w:ind w:left="0" w:firstLine="738"/>
      <w:jc w:val="both"/>
    </w:pPr>
    <w:rPr>
      <w:rFonts w:cs="Times New Roman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Calibri" w:hAnsi="Calibri" w:cs="Calibri"/>
      <w:lang w:val="x-none" w:eastAsia="en-US"/>
    </w:rPr>
  </w:style>
  <w:style w:type="paragraph" w:styleId="ab">
    <w:name w:val="Block Text"/>
    <w:basedOn w:val="a"/>
    <w:uiPriority w:val="99"/>
    <w:pPr>
      <w:autoSpaceDE w:val="0"/>
      <w:autoSpaceDN w:val="0"/>
      <w:adjustRightInd w:val="0"/>
      <w:spacing w:line="230" w:lineRule="auto"/>
      <w:ind w:firstLine="539"/>
      <w:jc w:val="both"/>
    </w:pPr>
    <w:rPr>
      <w:rFonts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AA1"/>
    <w:rPr>
      <w:rFonts w:ascii="Courier New" w:eastAsia="Times New Roman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4B08C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B08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7166</Words>
  <Characters>4086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Grizli777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kaloshyna</dc:creator>
  <cp:lastModifiedBy>user</cp:lastModifiedBy>
  <cp:revision>2</cp:revision>
  <cp:lastPrinted>2016-11-25T08:33:00Z</cp:lastPrinted>
  <dcterms:created xsi:type="dcterms:W3CDTF">2016-11-29T08:23:00Z</dcterms:created>
  <dcterms:modified xsi:type="dcterms:W3CDTF">2016-11-29T08:23:00Z</dcterms:modified>
</cp:coreProperties>
</file>