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76FAC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3F24C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</w:pP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Додаток 1</w:t>
            </w:r>
          </w:p>
          <w:p w:rsidR="00704B1E" w:rsidRPr="003F24CA" w:rsidRDefault="00704B1E" w:rsidP="003F24CA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</w:pP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до пояснювальної записки до</w:t>
            </w:r>
            <w:r w:rsidR="00176FAC"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про</w:t>
            </w:r>
            <w:r w:rsidR="00804147"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є</w:t>
            </w:r>
            <w:r w:rsidR="00176FAC"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>кту наказу</w:t>
            </w:r>
            <w:r w:rsidRPr="003F24CA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176FAC" w:rsidRPr="003F2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Міністерства внутрішніх справ України </w:t>
            </w:r>
            <w:r w:rsidR="00CC5FCC" w:rsidRPr="003F2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5FCC" w:rsidRPr="003F24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="00653BF6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внесення з</w:t>
            </w:r>
            <w:r w:rsidR="00CC5FCC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мін до наказу </w:t>
            </w:r>
            <w:r w:rsid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Міністерства внутрішніх справ України</w:t>
            </w:r>
            <w:r w:rsidR="00CC5FCC" w:rsidRPr="003F24CA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від 07 грудня 2009 року № 515</w:t>
            </w:r>
            <w:r w:rsidR="00CC5FCC" w:rsidRPr="003F2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24CA" w:rsidRDefault="003F24CA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B1E" w:rsidRPr="00BB3050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74242C" w:rsidRDefault="003F24CA" w:rsidP="00704B1E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704B1E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>еалізації</w:t>
      </w:r>
      <w:r w:rsidR="00176FAC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</w:t>
      </w:r>
      <w:r w:rsidR="00804147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>є</w:t>
      </w:r>
      <w:r w:rsidR="00176FAC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>кту наказу</w:t>
      </w:r>
      <w:r w:rsidR="00704B1E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FAC" w:rsidRPr="00CC5F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Міністерства внутрішніх справ України </w:t>
      </w:r>
      <w:r w:rsidR="00CC5FCC" w:rsidRPr="00CC5FCC">
        <w:rPr>
          <w:rFonts w:ascii="Times New Roman" w:hAnsi="Times New Roman" w:cs="Times New Roman"/>
          <w:b/>
          <w:sz w:val="24"/>
          <w:szCs w:val="24"/>
        </w:rPr>
        <w:t>«</w:t>
      </w:r>
      <w:r w:rsidR="00CC5FCC" w:rsidRPr="00CC5FCC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 w:rsidR="00653BF6">
        <w:rPr>
          <w:rStyle w:val="rvts23"/>
          <w:rFonts w:ascii="Times New Roman" w:hAnsi="Times New Roman" w:cs="Times New Roman"/>
          <w:b/>
          <w:sz w:val="24"/>
          <w:szCs w:val="24"/>
        </w:rPr>
        <w:t>внесення з</w:t>
      </w:r>
      <w:r w:rsidR="00CC5FCC" w:rsidRPr="00CC5FCC">
        <w:rPr>
          <w:rStyle w:val="rvts23"/>
          <w:rFonts w:ascii="Times New Roman" w:hAnsi="Times New Roman" w:cs="Times New Roman"/>
          <w:b/>
          <w:sz w:val="24"/>
          <w:szCs w:val="24"/>
        </w:rPr>
        <w:t xml:space="preserve">мін до наказу </w:t>
      </w:r>
      <w:r>
        <w:rPr>
          <w:rStyle w:val="rvts23"/>
          <w:rFonts w:ascii="Times New Roman" w:hAnsi="Times New Roman" w:cs="Times New Roman"/>
          <w:b/>
          <w:sz w:val="24"/>
          <w:szCs w:val="24"/>
        </w:rPr>
        <w:t>Міністерства внутрішніх справ України</w:t>
      </w:r>
      <w:r w:rsidR="00CC5FCC" w:rsidRPr="00CC5FCC">
        <w:rPr>
          <w:rStyle w:val="rvts23"/>
          <w:rFonts w:ascii="Times New Roman" w:hAnsi="Times New Roman" w:cs="Times New Roman"/>
          <w:b/>
          <w:sz w:val="24"/>
          <w:szCs w:val="24"/>
        </w:rPr>
        <w:t xml:space="preserve"> від 07 грудня 2009 року № 515</w:t>
      </w:r>
      <w:r w:rsidR="00CC5FCC" w:rsidRPr="00CC5FCC">
        <w:rPr>
          <w:rFonts w:ascii="Times New Roman" w:hAnsi="Times New Roman" w:cs="Times New Roman"/>
          <w:b/>
          <w:sz w:val="24"/>
          <w:szCs w:val="24"/>
        </w:rPr>
        <w:t>»</w:t>
      </w:r>
      <w:r w:rsidR="00704B1E" w:rsidRPr="00CC5FCC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="00704B1E" w:rsidRPr="00CC5F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(далі – про</w:t>
      </w:r>
      <w:r w:rsidR="00804147" w:rsidRPr="00CC5F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="00704B1E" w:rsidRPr="00CC5F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кт акта)</w:t>
      </w:r>
      <w:r w:rsidR="00704B1E" w:rsidRPr="00CC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ключові</w:t>
      </w:r>
      <w:r w:rsidR="00704B1E" w:rsidRPr="00742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877A00" w:rsidRPr="00176FAC" w:rsidRDefault="00704B1E" w:rsidP="00877A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176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6A6D5A" w:rsidRPr="00176F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Запропоновані зміни</w:t>
      </w:r>
      <w:r w:rsidR="006A6D5A" w:rsidRPr="00176FAC">
        <w:rPr>
          <w:rFonts w:ascii="Times New Roman" w:hAnsi="Times New Roman" w:cs="Times New Roman"/>
          <w:sz w:val="24"/>
          <w:szCs w:val="24"/>
        </w:rPr>
        <w:t xml:space="preserve"> пропонують </w:t>
      </w:r>
      <w:r w:rsidR="00176FAC" w:rsidRPr="00176FAC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зменшення адміністративного тиску у сфері підготов</w:t>
      </w:r>
      <w:r w:rsidR="005F5208">
        <w:rPr>
          <w:rFonts w:ascii="Times New Roman" w:hAnsi="Times New Roman" w:cs="Times New Roman"/>
          <w:sz w:val="24"/>
          <w:szCs w:val="24"/>
          <w:shd w:val="clear" w:color="auto" w:fill="FFFFFF"/>
        </w:rPr>
        <w:t>ки водіїв транспортних засобів</w:t>
      </w:r>
      <w:r w:rsidR="00176FAC" w:rsidRPr="00176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також </w:t>
      </w:r>
      <w:r w:rsidR="00176FAC" w:rsidRPr="00176FAC">
        <w:rPr>
          <w:rStyle w:val="rvts0"/>
          <w:rFonts w:ascii="Times New Roman" w:hAnsi="Times New Roman" w:cs="Times New Roman"/>
          <w:sz w:val="24"/>
          <w:szCs w:val="24"/>
        </w:rPr>
        <w:t>приведення нормативно-правових актів МВС у відповідність до законодавства</w:t>
      </w:r>
      <w:r w:rsidR="003F24CA">
        <w:rPr>
          <w:rStyle w:val="rvts0"/>
          <w:rFonts w:ascii="Times New Roman" w:hAnsi="Times New Roman" w:cs="Times New Roman"/>
          <w:sz w:val="24"/>
          <w:szCs w:val="24"/>
        </w:rPr>
        <w:t>.</w:t>
      </w:r>
    </w:p>
    <w:p w:rsidR="00704B1E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hAnsi="Times New Roman" w:cs="Times New Roman"/>
          <w:sz w:val="24"/>
          <w:szCs w:val="24"/>
        </w:rPr>
        <w:t>Розв</w:t>
      </w:r>
      <w:r w:rsidR="003F24C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A6D5A">
        <w:rPr>
          <w:rFonts w:ascii="Times New Roman" w:hAnsi="Times New Roman" w:cs="Times New Roman"/>
          <w:sz w:val="24"/>
          <w:szCs w:val="24"/>
        </w:rPr>
        <w:t>язання порушеної проблеми потребує комплексного підходу до ряду різнохарактерних завдань, насамперед у законодавчій сфері, що й передбачено про</w:t>
      </w:r>
      <w:r w:rsidR="00804147">
        <w:rPr>
          <w:rFonts w:ascii="Times New Roman" w:hAnsi="Times New Roman" w:cs="Times New Roman"/>
          <w:sz w:val="24"/>
          <w:szCs w:val="24"/>
        </w:rPr>
        <w:t>є</w:t>
      </w:r>
      <w:r w:rsidRPr="006A6D5A">
        <w:rPr>
          <w:rFonts w:ascii="Times New Roman" w:hAnsi="Times New Roman" w:cs="Times New Roman"/>
          <w:sz w:val="24"/>
          <w:szCs w:val="24"/>
        </w:rPr>
        <w:t xml:space="preserve">ктом </w:t>
      </w:r>
      <w:r w:rsidR="00176FAC">
        <w:rPr>
          <w:rFonts w:ascii="Times New Roman" w:hAnsi="Times New Roman" w:cs="Times New Roman"/>
          <w:sz w:val="24"/>
          <w:szCs w:val="24"/>
        </w:rPr>
        <w:t>акта</w:t>
      </w:r>
      <w:r w:rsidRPr="006A6D5A">
        <w:rPr>
          <w:rFonts w:ascii="Times New Roman" w:hAnsi="Times New Roman" w:cs="Times New Roman"/>
          <w:sz w:val="24"/>
          <w:szCs w:val="24"/>
        </w:rPr>
        <w:t>.</w:t>
      </w:r>
    </w:p>
    <w:p w:rsidR="00704B1E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2104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</w:p>
    <w:p w:rsidR="0074242C" w:rsidRPr="00704B1E" w:rsidRDefault="0074242C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tbl>
      <w:tblPr>
        <w:tblStyle w:val="1"/>
        <w:tblW w:w="15594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6096"/>
      </w:tblGrid>
      <w:tr w:rsidR="00877A00" w:rsidRPr="001E1299" w:rsidTr="006A6D5A">
        <w:trPr>
          <w:trHeight w:val="323"/>
        </w:trPr>
        <w:tc>
          <w:tcPr>
            <w:tcW w:w="2207" w:type="dxa"/>
            <w:vMerge w:val="restart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096" w:type="dxa"/>
            <w:vMerge w:val="restart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  <w:vMerge/>
          </w:tcPr>
          <w:p w:rsidR="00704B1E" w:rsidRPr="006A11E6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6A11E6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6A11E6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096" w:type="dxa"/>
            <w:vMerge/>
          </w:tcPr>
          <w:p w:rsidR="00704B1E" w:rsidRPr="006A11E6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</w:tcPr>
          <w:p w:rsidR="00704B1E" w:rsidRPr="006A11E6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Громадяни</w:t>
            </w:r>
          </w:p>
        </w:tc>
        <w:tc>
          <w:tcPr>
            <w:tcW w:w="3004" w:type="dxa"/>
          </w:tcPr>
          <w:p w:rsidR="007E3802" w:rsidRPr="006A11E6" w:rsidRDefault="0074242C" w:rsidP="0074242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sz w:val="24"/>
                <w:szCs w:val="24"/>
              </w:rPr>
              <w:t>Спрощення процедури здобуття права керування транспортними засобами</w:t>
            </w:r>
          </w:p>
        </w:tc>
        <w:tc>
          <w:tcPr>
            <w:tcW w:w="2093" w:type="dxa"/>
          </w:tcPr>
          <w:p w:rsidR="00704B1E" w:rsidRPr="006A11E6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6A11E6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6096" w:type="dxa"/>
          </w:tcPr>
          <w:p w:rsidR="00FE7569" w:rsidRPr="006A11E6" w:rsidRDefault="0074242C" w:rsidP="003F24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6">
              <w:rPr>
                <w:rFonts w:ascii="Times New Roman" w:hAnsi="Times New Roman" w:cs="Times New Roman"/>
                <w:sz w:val="24"/>
                <w:szCs w:val="24"/>
              </w:rPr>
              <w:t>Проєктом акта передбачається спрощення процедури здобуття права керування транспортними засобами для осіб,</w:t>
            </w:r>
            <w:r w:rsidR="003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E6">
              <w:rPr>
                <w:rFonts w:ascii="Times New Roman" w:hAnsi="Times New Roman" w:cs="Times New Roman"/>
                <w:sz w:val="24"/>
                <w:szCs w:val="24"/>
              </w:rPr>
              <w:t>які закінчили заклад освіти, що має ліцензію на провадження освітньої діяльності у сфері професійної (професійно-технічної) освіти, шляхом визнання документів про професійно-технічну освіту державного зразка (диплом кваліфікованого робітника, свідоцтво про присвоєння (підвищення) робітничої кваліфікації) такими, що підтверджують проходження підготовки, перепідготовки та підвищення кваліфікації водіїв транспорт</w:t>
            </w:r>
            <w:r w:rsidR="003F24CA">
              <w:rPr>
                <w:rFonts w:ascii="Times New Roman" w:hAnsi="Times New Roman" w:cs="Times New Roman"/>
                <w:sz w:val="24"/>
                <w:szCs w:val="24"/>
              </w:rPr>
              <w:t>них засобів</w:t>
            </w:r>
          </w:p>
        </w:tc>
      </w:tr>
      <w:tr w:rsidR="00504B78" w:rsidRPr="001E1299" w:rsidTr="006A6D5A">
        <w:trPr>
          <w:trHeight w:val="322"/>
        </w:trPr>
        <w:tc>
          <w:tcPr>
            <w:tcW w:w="2207" w:type="dxa"/>
          </w:tcPr>
          <w:p w:rsidR="00504B78" w:rsidRPr="006A11E6" w:rsidRDefault="00504B7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Суб’єкти господарювання</w:t>
            </w:r>
          </w:p>
        </w:tc>
        <w:tc>
          <w:tcPr>
            <w:tcW w:w="3004" w:type="dxa"/>
          </w:tcPr>
          <w:p w:rsidR="00504B78" w:rsidRPr="006A11E6" w:rsidRDefault="0074242C" w:rsidP="007424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Зменшення адміністративного тиск</w:t>
            </w:r>
            <w:r w:rsidR="003F2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сфері підготовки водіїв транспортних засобів</w:t>
            </w:r>
          </w:p>
        </w:tc>
        <w:tc>
          <w:tcPr>
            <w:tcW w:w="2093" w:type="dxa"/>
          </w:tcPr>
          <w:p w:rsidR="00504B78" w:rsidRPr="006A11E6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504B78" w:rsidRPr="006A11E6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74242C" w:rsidRPr="006A11E6" w:rsidRDefault="00804147" w:rsidP="0074242C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</w:t>
            </w:r>
            <w:r w:rsidR="0074242C"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ктом акта запропоновано зменшити адміністративний тиск у сфері підготовки водіїв транспортних засобів шляхом відміни процедури придбання в територіальних органах з надання сервісних послуг МВС бланків свідоцтв про закінчення закладу, замінив</w:t>
            </w:r>
            <w:r w:rsidR="00E57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</w:t>
            </w:r>
            <w:r w:rsidR="0074242C"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її внесенням відповідних електронних форм цих свідоцтв до Єдиного державного реєстру МВС  та запровадження дистанційної електронної реєстрації груп, що проходитимуть навчання.</w:t>
            </w:r>
          </w:p>
          <w:p w:rsidR="00504B78" w:rsidRPr="003F24CA" w:rsidRDefault="00804147" w:rsidP="00E57193">
            <w:pPr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Крім того, проє</w:t>
            </w:r>
            <w:r w:rsidR="0074242C"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кт акта приводить порядок підготовки водіїв у відповідність до положень частини </w:t>
            </w:r>
            <w:r w:rsid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шостої</w:t>
            </w:r>
            <w:r w:rsidR="0074242C"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статті 55 Господарського кодексу України, якою передбачено, що </w:t>
            </w:r>
            <w:r w:rsidR="00E57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суб’єкти господарювання</w:t>
            </w:r>
            <w:r w:rsidR="0074242C"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мають право відкривати філії та інші відокремлені підрозділи без створення юридичної особи</w:t>
            </w: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</w:tcPr>
          <w:p w:rsidR="00877A00" w:rsidRPr="006A11E6" w:rsidRDefault="00877A00" w:rsidP="00704B1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11E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Державні органи </w:t>
            </w:r>
          </w:p>
        </w:tc>
        <w:tc>
          <w:tcPr>
            <w:tcW w:w="3004" w:type="dxa"/>
          </w:tcPr>
          <w:p w:rsidR="007F1434" w:rsidRPr="006A11E6" w:rsidRDefault="006A11E6" w:rsidP="003F24CA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11E6">
              <w:rPr>
                <w:rFonts w:ascii="Times New Roman" w:hAnsi="Times New Roman" w:cs="Times New Roman"/>
                <w:sz w:val="24"/>
                <w:szCs w:val="24"/>
              </w:rPr>
              <w:t>Приведення нормативно-правових актів Міністерства внутрішніх справ України у відповідність до чинного законодавства, а також удосконал</w:t>
            </w:r>
            <w:r w:rsidR="003F24CA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механізм</w:t>
            </w:r>
            <w:r w:rsidR="003F2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державного регулювання щодо </w:t>
            </w:r>
            <w:r w:rsidRPr="006A11E6">
              <w:rPr>
                <w:rFonts w:ascii="Times New Roman" w:hAnsi="Times New Roman" w:cs="Times New Roman"/>
                <w:sz w:val="24"/>
                <w:szCs w:val="24"/>
              </w:rPr>
              <w:t>організації підготовки, перепідготовки та підвищенням кваліфікації водіїв транспортних засобів</w:t>
            </w:r>
          </w:p>
        </w:tc>
        <w:tc>
          <w:tcPr>
            <w:tcW w:w="2093" w:type="dxa"/>
          </w:tcPr>
          <w:p w:rsidR="00877A00" w:rsidRPr="006A11E6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877A00" w:rsidRPr="006A11E6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A11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6A11E6" w:rsidRPr="006A11E6" w:rsidRDefault="006A11E6" w:rsidP="006A11E6">
            <w:pPr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 метою моніторингу за повнотою пройденого в закладі курсу навчання проєктом акта передбачається норма щодо реєстрації груп до початку занять.</w:t>
            </w:r>
          </w:p>
          <w:p w:rsidR="006A11E6" w:rsidRPr="006A11E6" w:rsidRDefault="006A11E6" w:rsidP="006A11E6">
            <w:pPr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Виходячи зі змісту частини першої статті 15 Закону України «Про д</w:t>
            </w:r>
            <w:bookmarkStart w:id="0" w:name="_GoBack"/>
            <w:bookmarkEnd w:id="0"/>
            <w:r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орожній рух», слід розуміти, що особа, яка не пройшла повний курс програми, не може претендувати на отримання права керування транспортними засобами.</w:t>
            </w:r>
          </w:p>
          <w:p w:rsidR="006A11E6" w:rsidRPr="006A11E6" w:rsidRDefault="006A11E6" w:rsidP="006A11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Вимоги щодо реєстрації навчальних груп також спрямовані на унеможливлення зловживань з боку закладів</w:t>
            </w:r>
            <w:r w:rsid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що </w:t>
            </w:r>
            <w:r w:rsidR="003F24CA" w:rsidRP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проводять п</w:t>
            </w:r>
            <w:r w:rsidR="003F24CA" w:rsidRPr="003F24CA">
              <w:rPr>
                <w:rFonts w:ascii="Times New Roman" w:hAnsi="Times New Roman" w:cs="Times New Roman"/>
                <w:sz w:val="24"/>
                <w:szCs w:val="24"/>
              </w:rPr>
              <w:t>ідготовку, перепідготовку та підвищення кваліфікації водіїв транспортних засобів</w:t>
            </w:r>
            <w:r w:rsidR="003F24CA" w:rsidRP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  <w:r w:rsidRP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шляхом видачі документів про закінчення</w:t>
            </w:r>
            <w:r w:rsid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таких</w:t>
            </w:r>
            <w:r w:rsidRP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ів</w:t>
            </w:r>
            <w:r w:rsidRPr="003F24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особам, які фактично</w:t>
            </w:r>
            <w:r w:rsidRPr="006A11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не проходили підготовку.</w:t>
            </w:r>
          </w:p>
          <w:p w:rsidR="00941E4C" w:rsidRPr="003F24CA" w:rsidRDefault="00804147" w:rsidP="003F24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Окрім цього, проє</w:t>
            </w:r>
            <w:r w:rsidR="006A11E6" w:rsidRPr="006A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ктом акта передбачається запровадження електронного обміну інформацією між закладами та </w:t>
            </w:r>
            <w:r w:rsidR="006A11E6" w:rsidRPr="006A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територіальними органами з надання сервісних послуг МВС, що забезпечить створення більш комфортних умов їх </w:t>
            </w:r>
            <w:r w:rsidR="003F24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взаємодії між собою</w:t>
            </w:r>
          </w:p>
        </w:tc>
      </w:tr>
    </w:tbl>
    <w:p w:rsidR="00941E4C" w:rsidRPr="001E1299" w:rsidRDefault="00941E4C">
      <w:pPr>
        <w:rPr>
          <w:rFonts w:ascii="Times New Roman" w:hAnsi="Times New Roman" w:cs="Times New Roman"/>
          <w:sz w:val="24"/>
          <w:szCs w:val="24"/>
        </w:rPr>
      </w:pPr>
    </w:p>
    <w:sectPr w:rsidR="00941E4C" w:rsidRPr="001E1299" w:rsidSect="003F24CA">
      <w:headerReference w:type="default" r:id="rId6"/>
      <w:pgSz w:w="16838" w:h="11906" w:orient="landscape"/>
      <w:pgMar w:top="1135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38" w:rsidRDefault="007D1438" w:rsidP="008A4CFE">
      <w:pPr>
        <w:spacing w:after="0" w:line="240" w:lineRule="auto"/>
      </w:pPr>
      <w:r>
        <w:separator/>
      </w:r>
    </w:p>
  </w:endnote>
  <w:endnote w:type="continuationSeparator" w:id="0">
    <w:p w:rsidR="007D1438" w:rsidRDefault="007D1438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38" w:rsidRDefault="007D1438" w:rsidP="008A4CFE">
      <w:pPr>
        <w:spacing w:after="0" w:line="240" w:lineRule="auto"/>
      </w:pPr>
      <w:r>
        <w:separator/>
      </w:r>
    </w:p>
  </w:footnote>
  <w:footnote w:type="continuationSeparator" w:id="0">
    <w:p w:rsidR="007D1438" w:rsidRDefault="007D1438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93" w:rsidRPr="00E57193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F2201"/>
    <w:rsid w:val="001016AA"/>
    <w:rsid w:val="001173EF"/>
    <w:rsid w:val="00147002"/>
    <w:rsid w:val="00170DCC"/>
    <w:rsid w:val="00176FAC"/>
    <w:rsid w:val="001E1299"/>
    <w:rsid w:val="0020733E"/>
    <w:rsid w:val="00210401"/>
    <w:rsid w:val="00220B0E"/>
    <w:rsid w:val="002E7E2D"/>
    <w:rsid w:val="00355B3C"/>
    <w:rsid w:val="003C6259"/>
    <w:rsid w:val="003F24CA"/>
    <w:rsid w:val="0040780A"/>
    <w:rsid w:val="00446A7F"/>
    <w:rsid w:val="00454F17"/>
    <w:rsid w:val="004D7D18"/>
    <w:rsid w:val="00504B78"/>
    <w:rsid w:val="0051628F"/>
    <w:rsid w:val="005D12E8"/>
    <w:rsid w:val="005F5208"/>
    <w:rsid w:val="00632E44"/>
    <w:rsid w:val="006478F6"/>
    <w:rsid w:val="00653BF6"/>
    <w:rsid w:val="00692108"/>
    <w:rsid w:val="006A11E6"/>
    <w:rsid w:val="006A6D5A"/>
    <w:rsid w:val="006D30C4"/>
    <w:rsid w:val="00704B1E"/>
    <w:rsid w:val="0074242C"/>
    <w:rsid w:val="007D1438"/>
    <w:rsid w:val="007D15E3"/>
    <w:rsid w:val="007E3802"/>
    <w:rsid w:val="007F1434"/>
    <w:rsid w:val="00804147"/>
    <w:rsid w:val="0081279A"/>
    <w:rsid w:val="00866B66"/>
    <w:rsid w:val="00877A00"/>
    <w:rsid w:val="008A4CFE"/>
    <w:rsid w:val="008C29CE"/>
    <w:rsid w:val="00941E4C"/>
    <w:rsid w:val="009876C9"/>
    <w:rsid w:val="00A01B42"/>
    <w:rsid w:val="00A1325F"/>
    <w:rsid w:val="00A906B7"/>
    <w:rsid w:val="00A93BFF"/>
    <w:rsid w:val="00AB1604"/>
    <w:rsid w:val="00B328C8"/>
    <w:rsid w:val="00BB3050"/>
    <w:rsid w:val="00BF4C43"/>
    <w:rsid w:val="00C12CDE"/>
    <w:rsid w:val="00C13C6C"/>
    <w:rsid w:val="00CC5FCC"/>
    <w:rsid w:val="00D25785"/>
    <w:rsid w:val="00D46ED0"/>
    <w:rsid w:val="00D925A0"/>
    <w:rsid w:val="00DD4D0E"/>
    <w:rsid w:val="00E57193"/>
    <w:rsid w:val="00E77D9D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1F7B"/>
  <w15:docId w15:val="{698583B5-B556-4509-822D-D99EDCE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22</cp:revision>
  <cp:lastPrinted>2019-10-02T13:32:00Z</cp:lastPrinted>
  <dcterms:created xsi:type="dcterms:W3CDTF">2018-09-07T14:23:00Z</dcterms:created>
  <dcterms:modified xsi:type="dcterms:W3CDTF">2019-10-02T13:33:00Z</dcterms:modified>
</cp:coreProperties>
</file>