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54" w:rsidRDefault="001E0C54" w:rsidP="001E0C5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379"/>
      </w:tblGrid>
      <w:tr w:rsidR="001E0C54" w:rsidTr="003E737F">
        <w:tc>
          <w:tcPr>
            <w:tcW w:w="8647" w:type="dxa"/>
          </w:tcPr>
          <w:p w:rsidR="001E0C54" w:rsidRDefault="001E0C54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379" w:type="dxa"/>
          </w:tcPr>
          <w:p w:rsidR="001E0C54" w:rsidRPr="009574A9" w:rsidRDefault="001E0C54" w:rsidP="009574A9">
            <w:pPr>
              <w:widowControl w:val="0"/>
              <w:ind w:left="212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9574A9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Додаток 1</w:t>
            </w:r>
          </w:p>
          <w:p w:rsidR="009574A9" w:rsidRPr="009574A9" w:rsidRDefault="005A091E" w:rsidP="009574A9">
            <w:pPr>
              <w:pStyle w:val="ab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574A9">
              <w:rPr>
                <w:rFonts w:ascii="Times New Roman" w:hAnsi="Times New Roman"/>
                <w:b w:val="0"/>
                <w:spacing w:val="-2"/>
                <w:sz w:val="24"/>
                <w:szCs w:val="24"/>
                <w:shd w:val="clear" w:color="auto" w:fill="FFFFFF"/>
                <w:lang w:eastAsia="uk-UA"/>
              </w:rPr>
              <w:t>до пояснювальної записки до проє</w:t>
            </w:r>
            <w:r w:rsidR="001E0C54" w:rsidRPr="009574A9">
              <w:rPr>
                <w:rFonts w:ascii="Times New Roman" w:hAnsi="Times New Roman"/>
                <w:b w:val="0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кту </w:t>
            </w:r>
            <w:r w:rsidR="008034BC" w:rsidRPr="009574A9">
              <w:rPr>
                <w:rFonts w:ascii="Times New Roman" w:hAnsi="Times New Roman"/>
                <w:b w:val="0"/>
                <w:spacing w:val="-2"/>
                <w:sz w:val="24"/>
                <w:szCs w:val="24"/>
                <w:shd w:val="clear" w:color="auto" w:fill="FFFFFF"/>
                <w:lang w:eastAsia="uk-UA"/>
              </w:rPr>
              <w:t>постанови</w:t>
            </w:r>
            <w:r w:rsidR="00DC0CF4" w:rsidRPr="009574A9">
              <w:rPr>
                <w:rFonts w:ascii="Times New Roman" w:hAnsi="Times New Roman"/>
                <w:b w:val="0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Кабінету Міністрів України </w:t>
            </w:r>
            <w:r w:rsidR="00FB3DCF" w:rsidRPr="009574A9">
              <w:rPr>
                <w:rFonts w:ascii="Times New Roman" w:hAnsi="Times New Roman"/>
                <w:b w:val="0"/>
                <w:spacing w:val="-2"/>
                <w:sz w:val="24"/>
                <w:szCs w:val="24"/>
                <w:shd w:val="clear" w:color="auto" w:fill="FFFFFF"/>
                <w:lang w:eastAsia="uk-UA"/>
              </w:rPr>
              <w:t>«</w:t>
            </w:r>
            <w:r w:rsidR="009574A9" w:rsidRPr="009574A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</w:t>
            </w:r>
            <w:r w:rsidR="009574A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="009574A9" w:rsidRPr="009574A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</w:t>
            </w:r>
            <w:r w:rsidR="006554B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</w:t>
            </w:r>
            <w:r w:rsidR="009574A9" w:rsidRPr="009574A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      </w:r>
          </w:p>
          <w:p w:rsidR="001E0C54" w:rsidRDefault="00FB3DCF" w:rsidP="00FB3DCF">
            <w:pPr>
              <w:widowControl w:val="0"/>
              <w:ind w:left="212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FB3DC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</w:tbl>
    <w:p w:rsidR="00AF5148" w:rsidRDefault="00AF5148" w:rsidP="001E0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C54" w:rsidRPr="00AF5148" w:rsidRDefault="001E0C54" w:rsidP="001E0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148">
        <w:rPr>
          <w:rFonts w:ascii="Times New Roman" w:eastAsia="Times New Roman" w:hAnsi="Times New Roman" w:cs="Times New Roman"/>
          <w:b/>
          <w:sz w:val="28"/>
          <w:szCs w:val="28"/>
        </w:rPr>
        <w:t>ПРОГНОЗ ВПЛИВУ</w:t>
      </w:r>
    </w:p>
    <w:p w:rsidR="001E0C54" w:rsidRPr="00AF5148" w:rsidRDefault="001E0C54" w:rsidP="003E737F">
      <w:pPr>
        <w:widowControl w:val="0"/>
        <w:spacing w:after="0" w:line="240" w:lineRule="auto"/>
        <w:ind w:left="993" w:right="5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реалізації </w:t>
      </w:r>
      <w:r w:rsidR="005A091E"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проє</w:t>
      </w:r>
      <w:r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кту </w:t>
      </w:r>
      <w:r w:rsidR="008034BC"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постанови </w:t>
      </w:r>
      <w:r w:rsidR="00DC0CF4"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Кабінету Міністрів України </w:t>
      </w:r>
      <w:r w:rsidR="009574A9" w:rsidRPr="00AF5148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  <w:lang w:eastAsia="uk-UA"/>
        </w:rPr>
        <w:t>«</w:t>
      </w:r>
      <w:r w:rsidR="009574A9" w:rsidRPr="00AF5148">
        <w:rPr>
          <w:rFonts w:ascii="Times New Roman" w:hAnsi="Times New Roman"/>
          <w:b/>
          <w:color w:val="000000" w:themeColor="text1"/>
          <w:sz w:val="28"/>
          <w:szCs w:val="28"/>
        </w:rPr>
        <w:t>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</w:r>
      <w:r w:rsidR="00B621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</w:t>
      </w:r>
      <w:r w:rsidR="00FB3DCF"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(да</w:t>
      </w:r>
      <w:r w:rsidR="008A2378"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лі – </w:t>
      </w:r>
      <w:proofErr w:type="spellStart"/>
      <w:r w:rsidR="008A2378"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проє</w:t>
      </w:r>
      <w:r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</w:t>
      </w:r>
      <w:proofErr w:type="spellEnd"/>
      <w:r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Pr="00AF51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)</w:t>
      </w:r>
      <w:r w:rsidRPr="00AF5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ключові інтереси заінтересованих сторін</w:t>
      </w:r>
    </w:p>
    <w:p w:rsidR="00704B1E" w:rsidRPr="00AF5148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3A2406" w:rsidRPr="00AF5148" w:rsidRDefault="00382220" w:rsidP="006554B3">
      <w:pPr>
        <w:pStyle w:val="HTML"/>
        <w:numPr>
          <w:ilvl w:val="0"/>
          <w:numId w:val="3"/>
        </w:numPr>
        <w:shd w:val="clear" w:color="auto" w:fill="FFFFFF"/>
        <w:tabs>
          <w:tab w:val="left" w:pos="993"/>
        </w:tabs>
        <w:ind w:left="99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proofErr w:type="spellStart"/>
      <w:r w:rsidRPr="00AF5148">
        <w:rPr>
          <w:rStyle w:val="ac"/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AF514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F5148">
        <w:rPr>
          <w:rStyle w:val="ac"/>
          <w:rFonts w:ascii="Times New Roman" w:hAnsi="Times New Roman" w:cs="Times New Roman"/>
          <w:b w:val="0"/>
          <w:sz w:val="28"/>
          <w:szCs w:val="28"/>
        </w:rPr>
        <w:t>акта</w:t>
      </w:r>
      <w:proofErr w:type="spellEnd"/>
      <w:r w:rsidRPr="00AF514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розроблено з метою приведення Ліцензійних умов до вимог законодавства у сфері ліцензування</w:t>
      </w:r>
      <w:r w:rsidR="00D80147" w:rsidRPr="00AF5148">
        <w:rPr>
          <w:rStyle w:val="ac"/>
          <w:rFonts w:ascii="Times New Roman" w:hAnsi="Times New Roman" w:cs="Times New Roman"/>
          <w:b w:val="0"/>
          <w:sz w:val="28"/>
          <w:szCs w:val="28"/>
        </w:rPr>
        <w:t>, а саме в</w:t>
      </w:r>
      <w:r w:rsidRPr="00AF5148">
        <w:rPr>
          <w:rFonts w:ascii="Times New Roman" w:hAnsi="Times New Roman" w:cs="Times New Roman"/>
          <w:sz w:val="28"/>
          <w:szCs w:val="28"/>
        </w:rPr>
        <w:t>ст</w:t>
      </w:r>
      <w:r w:rsidRPr="00AF5148">
        <w:rPr>
          <w:rFonts w:ascii="Times New Roman" w:hAnsi="Times New Roman" w:cs="Times New Roman"/>
          <w:bCs/>
          <w:sz w:val="28"/>
          <w:szCs w:val="28"/>
        </w:rPr>
        <w:t xml:space="preserve">ановлюється зміст та форми заяв </w:t>
      </w:r>
      <w:r w:rsidRPr="00AF5148">
        <w:rPr>
          <w:rFonts w:ascii="Times New Roman" w:hAnsi="Times New Roman" w:cs="Times New Roman"/>
          <w:sz w:val="28"/>
          <w:szCs w:val="28"/>
        </w:rPr>
        <w:t>про переоформлення ліцензії, зупинення дії ліцензії в повному обсязі або частково, відновлення дії ліцензії в повному обсязі або частково, розширення провадження виду господарської діяльності, звуження провадження виду господарської діяльності, анулювання ліцензії, визначається порядок дій суб’єкта господарювання в разі повного або часткового зупинення дії ліцензії, а також уносяться доповнення до</w:t>
      </w:r>
      <w:r w:rsidR="00684C47" w:rsidRPr="00AF514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переліку документів, що подаються до заяви про отримання ліцензії</w:t>
      </w:r>
      <w:r w:rsidR="008543A7" w:rsidRPr="00AF51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</w:t>
      </w:r>
    </w:p>
    <w:p w:rsidR="008543A7" w:rsidRPr="00AF5148" w:rsidRDefault="00D80147" w:rsidP="006554B3">
      <w:pPr>
        <w:widowControl w:val="0"/>
        <w:tabs>
          <w:tab w:val="left" w:pos="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F514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5D1E82" w:rsidRPr="00AF514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роє</w:t>
      </w:r>
      <w:r w:rsidR="00196BF3" w:rsidRPr="00AF514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кт</w:t>
      </w:r>
      <w:r w:rsidRPr="00AF514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ом</w:t>
      </w:r>
      <w:proofErr w:type="spellEnd"/>
      <w:r w:rsidR="00196BF3" w:rsidRPr="00AF514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91683" w:rsidRPr="00AF514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="00091683" w:rsidRPr="00AF514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514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планується </w:t>
      </w:r>
      <w:r w:rsidR="007855E2" w:rsidRPr="00AF514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конкретизувати</w:t>
      </w:r>
      <w:r w:rsidRPr="00AF514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окремі положення Ліцензій</w:t>
      </w:r>
      <w:bookmarkStart w:id="0" w:name="_GoBack"/>
      <w:bookmarkEnd w:id="0"/>
      <w:r w:rsidRPr="00AF514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них умов з метою виключення можливості </w:t>
      </w:r>
      <w:r w:rsidRPr="00AF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їх суб’єктивного </w:t>
      </w:r>
      <w:r w:rsidR="007855E2" w:rsidRPr="00AF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</w:t>
      </w:r>
      <w:r w:rsidRPr="00AF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сування органом ліцензування чи ліцензіатам</w:t>
      </w:r>
      <w:r w:rsidR="00510352" w:rsidRPr="00AF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855E2" w:rsidRPr="00AF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55E2" w:rsidRPr="00AF5148" w:rsidRDefault="007855E2" w:rsidP="006554B3">
      <w:pPr>
        <w:widowControl w:val="0"/>
        <w:tabs>
          <w:tab w:val="left" w:pos="993"/>
        </w:tabs>
        <w:spacing w:after="0" w:line="240" w:lineRule="auto"/>
        <w:ind w:left="993"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04B1E" w:rsidRPr="00AF5148" w:rsidRDefault="00704B1E" w:rsidP="006554B3">
      <w:pPr>
        <w:pStyle w:val="aa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AF51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Прогноз впливів на ключові інтереси </w:t>
      </w:r>
      <w:r w:rsidR="00210401" w:rsidRPr="00AF51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в</w:t>
      </w:r>
      <w:r w:rsidRPr="00AF51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сіх заінтересованих сторін</w:t>
      </w:r>
    </w:p>
    <w:p w:rsidR="008543A7" w:rsidRPr="00AF5148" w:rsidRDefault="008543A7" w:rsidP="00D076C8">
      <w:pPr>
        <w:pStyle w:val="aa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2192"/>
        <w:gridCol w:w="3274"/>
        <w:gridCol w:w="2406"/>
        <w:gridCol w:w="2524"/>
        <w:gridCol w:w="4767"/>
      </w:tblGrid>
      <w:tr w:rsidR="00CB20B9" w:rsidRPr="00AF5148" w:rsidTr="00684C47">
        <w:trPr>
          <w:trHeight w:val="323"/>
        </w:trPr>
        <w:tc>
          <w:tcPr>
            <w:tcW w:w="2217" w:type="dxa"/>
            <w:vMerge w:val="restart"/>
          </w:tcPr>
          <w:p w:rsidR="00704B1E" w:rsidRPr="00AF5148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3448" w:type="dxa"/>
            <w:vMerge w:val="restart"/>
          </w:tcPr>
          <w:p w:rsidR="00704B1E" w:rsidRPr="00AF5148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358" w:type="dxa"/>
            <w:gridSpan w:val="2"/>
          </w:tcPr>
          <w:p w:rsidR="00704B1E" w:rsidRPr="00AF5148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5140" w:type="dxa"/>
            <w:vMerge w:val="restart"/>
          </w:tcPr>
          <w:p w:rsidR="00704B1E" w:rsidRPr="00AF5148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CB20B9" w:rsidRPr="00AF5148" w:rsidTr="00684C47">
        <w:trPr>
          <w:trHeight w:val="322"/>
        </w:trPr>
        <w:tc>
          <w:tcPr>
            <w:tcW w:w="2217" w:type="dxa"/>
            <w:vMerge/>
          </w:tcPr>
          <w:p w:rsidR="00704B1E" w:rsidRPr="00AF5148" w:rsidRDefault="00704B1E" w:rsidP="00963A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3448" w:type="dxa"/>
            <w:vMerge/>
          </w:tcPr>
          <w:p w:rsidR="00704B1E" w:rsidRPr="00AF5148" w:rsidRDefault="00704B1E" w:rsidP="00963A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AF5148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265" w:type="dxa"/>
          </w:tcPr>
          <w:p w:rsidR="00704B1E" w:rsidRPr="00AF5148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5140" w:type="dxa"/>
            <w:vMerge/>
          </w:tcPr>
          <w:p w:rsidR="00704B1E" w:rsidRPr="00AF5148" w:rsidRDefault="00704B1E" w:rsidP="00963A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CB20B9" w:rsidRPr="00AF5148" w:rsidTr="00796C43">
        <w:trPr>
          <w:trHeight w:val="1190"/>
        </w:trPr>
        <w:tc>
          <w:tcPr>
            <w:tcW w:w="2217" w:type="dxa"/>
          </w:tcPr>
          <w:p w:rsidR="00CB20B9" w:rsidRPr="00AF5148" w:rsidRDefault="00684C47" w:rsidP="00CB20B9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F5148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 ліцензування</w:t>
            </w:r>
          </w:p>
          <w:p w:rsidR="00CB20B9" w:rsidRPr="00AF5148" w:rsidRDefault="00CB20B9" w:rsidP="00CB20B9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448" w:type="dxa"/>
          </w:tcPr>
          <w:p w:rsidR="00CB20B9" w:rsidRPr="00AF5148" w:rsidRDefault="007855E2" w:rsidP="006334C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Забезпечення здійснення ліцензування відповідно до вимог законодавства</w:t>
            </w:r>
            <w:r w:rsidR="006334CA"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2093" w:type="dxa"/>
          </w:tcPr>
          <w:p w:rsidR="00CB20B9" w:rsidRPr="00AF5148" w:rsidRDefault="00CB20B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2265" w:type="dxa"/>
          </w:tcPr>
          <w:p w:rsidR="00CB20B9" w:rsidRPr="00AF5148" w:rsidRDefault="00CB20B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5140" w:type="dxa"/>
          </w:tcPr>
          <w:p w:rsidR="00CB20B9" w:rsidRPr="00AF5148" w:rsidRDefault="00796C43" w:rsidP="00796C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F5148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Реалізацією </w:t>
            </w:r>
            <w:proofErr w:type="spellStart"/>
            <w:r w:rsidRPr="00AF5148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акта</w:t>
            </w:r>
            <w:proofErr w:type="spellEnd"/>
            <w:r w:rsidRPr="00AF5148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буде </w:t>
            </w:r>
            <w:proofErr w:type="spellStart"/>
            <w:r w:rsidRPr="00AF5148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AF51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осягнено</w:t>
            </w:r>
            <w:proofErr w:type="spellEnd"/>
            <w:r w:rsidRPr="00AF51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нормативно-правового врегулювання питань, пов’язаних з ліцензуванням виду господарської діяльності. Ліцензійні умови повною мірою відповідатимуть вимогам Закону України «Про ліцензування видів господарської діяльності».</w:t>
            </w:r>
          </w:p>
        </w:tc>
      </w:tr>
      <w:tr w:rsidR="003E30BF" w:rsidRPr="00AF5148" w:rsidTr="00684C47">
        <w:trPr>
          <w:trHeight w:val="2225"/>
        </w:trPr>
        <w:tc>
          <w:tcPr>
            <w:tcW w:w="2217" w:type="dxa"/>
          </w:tcPr>
          <w:p w:rsidR="003E30BF" w:rsidRPr="00AF5148" w:rsidRDefault="003E30BF" w:rsidP="003E30BF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F5148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Суб’єкти господарської діяльності </w:t>
            </w:r>
          </w:p>
        </w:tc>
        <w:tc>
          <w:tcPr>
            <w:tcW w:w="3448" w:type="dxa"/>
          </w:tcPr>
          <w:p w:rsidR="003E30BF" w:rsidRPr="00AF5148" w:rsidRDefault="003E30BF" w:rsidP="003E30B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підзаконного нормативно-правового </w:t>
            </w:r>
            <w:proofErr w:type="spellStart"/>
            <w:r w:rsidRPr="00AF514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F5148">
              <w:rPr>
                <w:rFonts w:ascii="Times New Roman" w:hAnsi="Times New Roman" w:cs="Times New Roman"/>
                <w:sz w:val="28"/>
                <w:szCs w:val="28"/>
              </w:rPr>
              <w:t xml:space="preserve"> в частині уточнення його вимог, забезпечення </w:t>
            </w:r>
            <w:r w:rsidRPr="00AF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чітких і зрозумілих умов провадження господарської діяльності</w:t>
            </w:r>
          </w:p>
        </w:tc>
        <w:tc>
          <w:tcPr>
            <w:tcW w:w="2093" w:type="dxa"/>
          </w:tcPr>
          <w:p w:rsidR="003E30BF" w:rsidRPr="00AF5148" w:rsidRDefault="003E30BF" w:rsidP="003E30B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2265" w:type="dxa"/>
          </w:tcPr>
          <w:p w:rsidR="003E30BF" w:rsidRPr="00AF5148" w:rsidRDefault="003E30BF" w:rsidP="003E30B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AF51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5140" w:type="dxa"/>
          </w:tcPr>
          <w:p w:rsidR="00567FBA" w:rsidRPr="00AF5148" w:rsidRDefault="00510352" w:rsidP="005103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51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Для с</w:t>
            </w:r>
            <w:r w:rsidR="00672C4C" w:rsidRPr="00AF51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уб’єкт</w:t>
            </w:r>
            <w:r w:rsidRPr="00AF51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ів</w:t>
            </w:r>
            <w:r w:rsidR="00672C4C" w:rsidRPr="00AF51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господарської діяльності </w:t>
            </w:r>
            <w:r w:rsidRPr="00AF5148">
              <w:rPr>
                <w:rFonts w:ascii="Times New Roman" w:hAnsi="Times New Roman" w:cs="Times New Roman"/>
                <w:sz w:val="28"/>
                <w:szCs w:val="28"/>
              </w:rPr>
              <w:t>буде визначено порядок дій у разі повного або часткового зупинення дії ліцензії</w:t>
            </w:r>
            <w:r w:rsidRPr="00AF51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3E30BF" w:rsidRPr="00AF5148" w:rsidRDefault="00510352" w:rsidP="00AF51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F51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Конкретизація окремих положень Ліцензійних умов</w:t>
            </w:r>
            <w:r w:rsidRPr="00AF5148">
              <w:rPr>
                <w:rStyle w:val="ac"/>
                <w:sz w:val="28"/>
                <w:szCs w:val="28"/>
              </w:rPr>
              <w:t xml:space="preserve"> </w:t>
            </w:r>
            <w:r w:rsidRPr="00AF51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уне</w:t>
            </w:r>
            <w:r w:rsidRPr="00AF5148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можливить </w:t>
            </w:r>
            <w:r w:rsidRPr="00AF5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їх суб’єктивне  застосування   органом ліцензування чи ліцензіатам</w:t>
            </w:r>
            <w:r w:rsidR="00567FBA" w:rsidRPr="00AF5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  <w:r w:rsidR="003E30BF" w:rsidRPr="00AF51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46A7F" w:rsidRPr="00AF5148" w:rsidRDefault="00446A7F" w:rsidP="00A627F0">
      <w:pPr>
        <w:rPr>
          <w:rFonts w:ascii="Times New Roman" w:hAnsi="Times New Roman" w:cs="Times New Roman"/>
          <w:sz w:val="28"/>
          <w:szCs w:val="28"/>
        </w:rPr>
      </w:pPr>
    </w:p>
    <w:sectPr w:rsidR="00446A7F" w:rsidRPr="00AF5148" w:rsidSect="00A627F0">
      <w:headerReference w:type="default" r:id="rId8"/>
      <w:pgSz w:w="16838" w:h="11906" w:orient="landscape"/>
      <w:pgMar w:top="709" w:right="850" w:bottom="993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8B" w:rsidRDefault="00F1448B" w:rsidP="008A4CFE">
      <w:pPr>
        <w:spacing w:after="0" w:line="240" w:lineRule="auto"/>
      </w:pPr>
      <w:r>
        <w:separator/>
      </w:r>
    </w:p>
  </w:endnote>
  <w:endnote w:type="continuationSeparator" w:id="0">
    <w:p w:rsidR="00F1448B" w:rsidRDefault="00F1448B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8B" w:rsidRDefault="00F1448B" w:rsidP="008A4CFE">
      <w:pPr>
        <w:spacing w:after="0" w:line="240" w:lineRule="auto"/>
      </w:pPr>
      <w:r>
        <w:separator/>
      </w:r>
    </w:p>
  </w:footnote>
  <w:footnote w:type="continuationSeparator" w:id="0">
    <w:p w:rsidR="00F1448B" w:rsidRDefault="00F1448B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639874"/>
      <w:docPartObj>
        <w:docPartGallery w:val="Page Numbers (Top of Page)"/>
        <w:docPartUnique/>
      </w:docPartObj>
    </w:sdtPr>
    <w:sdtEndPr/>
    <w:sdtContent>
      <w:p w:rsidR="006334CA" w:rsidRDefault="006334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4B3" w:rsidRPr="006554B3">
          <w:rPr>
            <w:noProof/>
            <w:lang w:val="ru-RU"/>
          </w:rPr>
          <w:t>2</w:t>
        </w:r>
        <w:r>
          <w:fldChar w:fldCharType="end"/>
        </w:r>
      </w:p>
    </w:sdtContent>
  </w:sdt>
  <w:p w:rsidR="006334CA" w:rsidRDefault="006334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0B5"/>
    <w:multiLevelType w:val="hybridMultilevel"/>
    <w:tmpl w:val="7312FA7A"/>
    <w:lvl w:ilvl="0" w:tplc="D0BE90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5DE6E06"/>
    <w:multiLevelType w:val="hybridMultilevel"/>
    <w:tmpl w:val="3B44ECDC"/>
    <w:lvl w:ilvl="0" w:tplc="E6945EE0">
      <w:start w:val="1"/>
      <w:numFmt w:val="decimal"/>
      <w:lvlText w:val="%1."/>
      <w:lvlJc w:val="left"/>
      <w:pPr>
        <w:ind w:left="14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D3B5D89"/>
    <w:multiLevelType w:val="hybridMultilevel"/>
    <w:tmpl w:val="0F442382"/>
    <w:lvl w:ilvl="0" w:tplc="51663AB2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1E"/>
    <w:rsid w:val="000029A0"/>
    <w:rsid w:val="00005BAF"/>
    <w:rsid w:val="00030E6F"/>
    <w:rsid w:val="00060E7C"/>
    <w:rsid w:val="00064468"/>
    <w:rsid w:val="00067296"/>
    <w:rsid w:val="00091683"/>
    <w:rsid w:val="000B1F50"/>
    <w:rsid w:val="000F2201"/>
    <w:rsid w:val="001016AA"/>
    <w:rsid w:val="00146B8E"/>
    <w:rsid w:val="00154AA2"/>
    <w:rsid w:val="00170DCC"/>
    <w:rsid w:val="001823E0"/>
    <w:rsid w:val="00196BF3"/>
    <w:rsid w:val="001E0C54"/>
    <w:rsid w:val="001E1299"/>
    <w:rsid w:val="001E2CBF"/>
    <w:rsid w:val="0020733E"/>
    <w:rsid w:val="002103FE"/>
    <w:rsid w:val="00210401"/>
    <w:rsid w:val="0021672B"/>
    <w:rsid w:val="00244504"/>
    <w:rsid w:val="00291036"/>
    <w:rsid w:val="00291401"/>
    <w:rsid w:val="002D7613"/>
    <w:rsid w:val="002E1249"/>
    <w:rsid w:val="002E7E2D"/>
    <w:rsid w:val="003131E7"/>
    <w:rsid w:val="00321B8D"/>
    <w:rsid w:val="00346208"/>
    <w:rsid w:val="00346D5A"/>
    <w:rsid w:val="003548A4"/>
    <w:rsid w:val="00355B3C"/>
    <w:rsid w:val="0035703A"/>
    <w:rsid w:val="0037271B"/>
    <w:rsid w:val="00382220"/>
    <w:rsid w:val="003A2406"/>
    <w:rsid w:val="003A7F03"/>
    <w:rsid w:val="003D6F1E"/>
    <w:rsid w:val="003E30BF"/>
    <w:rsid w:val="003E737F"/>
    <w:rsid w:val="0040780A"/>
    <w:rsid w:val="00421EEF"/>
    <w:rsid w:val="00434382"/>
    <w:rsid w:val="00446A7F"/>
    <w:rsid w:val="00451602"/>
    <w:rsid w:val="00454F17"/>
    <w:rsid w:val="004979BD"/>
    <w:rsid w:val="004B46E9"/>
    <w:rsid w:val="004D5FDE"/>
    <w:rsid w:val="004D7D18"/>
    <w:rsid w:val="004E6201"/>
    <w:rsid w:val="00507EE4"/>
    <w:rsid w:val="00510352"/>
    <w:rsid w:val="0051628F"/>
    <w:rsid w:val="005217D0"/>
    <w:rsid w:val="005507D4"/>
    <w:rsid w:val="00567FBA"/>
    <w:rsid w:val="005738E5"/>
    <w:rsid w:val="0059568B"/>
    <w:rsid w:val="0059766F"/>
    <w:rsid w:val="005A091E"/>
    <w:rsid w:val="005B7D46"/>
    <w:rsid w:val="005C7D38"/>
    <w:rsid w:val="005D1E82"/>
    <w:rsid w:val="00612624"/>
    <w:rsid w:val="006334CA"/>
    <w:rsid w:val="006478F6"/>
    <w:rsid w:val="006554B3"/>
    <w:rsid w:val="0066718F"/>
    <w:rsid w:val="00672C4C"/>
    <w:rsid w:val="006746DC"/>
    <w:rsid w:val="0067489B"/>
    <w:rsid w:val="00676BA1"/>
    <w:rsid w:val="00684C47"/>
    <w:rsid w:val="00686B08"/>
    <w:rsid w:val="006913B9"/>
    <w:rsid w:val="00692108"/>
    <w:rsid w:val="00695AFE"/>
    <w:rsid w:val="006A1E26"/>
    <w:rsid w:val="006B0519"/>
    <w:rsid w:val="006B17D1"/>
    <w:rsid w:val="006C2464"/>
    <w:rsid w:val="006D7140"/>
    <w:rsid w:val="00702ABC"/>
    <w:rsid w:val="00704B1E"/>
    <w:rsid w:val="0071234A"/>
    <w:rsid w:val="00721D04"/>
    <w:rsid w:val="00730A08"/>
    <w:rsid w:val="00771B77"/>
    <w:rsid w:val="007855E2"/>
    <w:rsid w:val="00796C43"/>
    <w:rsid w:val="007A541A"/>
    <w:rsid w:val="007C05AD"/>
    <w:rsid w:val="007D15E3"/>
    <w:rsid w:val="007E51B6"/>
    <w:rsid w:val="007F1434"/>
    <w:rsid w:val="007F15BB"/>
    <w:rsid w:val="008034BC"/>
    <w:rsid w:val="0081279A"/>
    <w:rsid w:val="00827E48"/>
    <w:rsid w:val="00831406"/>
    <w:rsid w:val="008419C7"/>
    <w:rsid w:val="008543A7"/>
    <w:rsid w:val="008604F9"/>
    <w:rsid w:val="008734EB"/>
    <w:rsid w:val="00877A00"/>
    <w:rsid w:val="008A2378"/>
    <w:rsid w:val="008A4CFE"/>
    <w:rsid w:val="008B109A"/>
    <w:rsid w:val="008B5E85"/>
    <w:rsid w:val="008C29CE"/>
    <w:rsid w:val="009179F0"/>
    <w:rsid w:val="00917A90"/>
    <w:rsid w:val="00932304"/>
    <w:rsid w:val="009574A9"/>
    <w:rsid w:val="00963AAC"/>
    <w:rsid w:val="009814B0"/>
    <w:rsid w:val="009876C9"/>
    <w:rsid w:val="009B490B"/>
    <w:rsid w:val="009B6FE4"/>
    <w:rsid w:val="009C48D4"/>
    <w:rsid w:val="009D4D15"/>
    <w:rsid w:val="009E4F41"/>
    <w:rsid w:val="00A00513"/>
    <w:rsid w:val="00A01B42"/>
    <w:rsid w:val="00A0709A"/>
    <w:rsid w:val="00A1332B"/>
    <w:rsid w:val="00A627F0"/>
    <w:rsid w:val="00A76023"/>
    <w:rsid w:val="00A906B7"/>
    <w:rsid w:val="00AF34D3"/>
    <w:rsid w:val="00AF5148"/>
    <w:rsid w:val="00B02EBC"/>
    <w:rsid w:val="00B12303"/>
    <w:rsid w:val="00B364AA"/>
    <w:rsid w:val="00B62122"/>
    <w:rsid w:val="00BB5FFF"/>
    <w:rsid w:val="00BF1426"/>
    <w:rsid w:val="00C0343C"/>
    <w:rsid w:val="00C13C6C"/>
    <w:rsid w:val="00C3593C"/>
    <w:rsid w:val="00C41515"/>
    <w:rsid w:val="00C74844"/>
    <w:rsid w:val="00CA15D5"/>
    <w:rsid w:val="00CB20B9"/>
    <w:rsid w:val="00CE4795"/>
    <w:rsid w:val="00D076C8"/>
    <w:rsid w:val="00D12FBD"/>
    <w:rsid w:val="00D46ED0"/>
    <w:rsid w:val="00D521CA"/>
    <w:rsid w:val="00D61CE8"/>
    <w:rsid w:val="00D6649C"/>
    <w:rsid w:val="00D80147"/>
    <w:rsid w:val="00D925A0"/>
    <w:rsid w:val="00DC0CF4"/>
    <w:rsid w:val="00DD4D0E"/>
    <w:rsid w:val="00E30E33"/>
    <w:rsid w:val="00E40FCE"/>
    <w:rsid w:val="00E439DE"/>
    <w:rsid w:val="00E478E8"/>
    <w:rsid w:val="00E50A09"/>
    <w:rsid w:val="00E725D2"/>
    <w:rsid w:val="00E76A8F"/>
    <w:rsid w:val="00E84EA5"/>
    <w:rsid w:val="00EB309B"/>
    <w:rsid w:val="00EB4AB5"/>
    <w:rsid w:val="00EC4E43"/>
    <w:rsid w:val="00ED1200"/>
    <w:rsid w:val="00F02464"/>
    <w:rsid w:val="00F1107D"/>
    <w:rsid w:val="00F112E3"/>
    <w:rsid w:val="00F1448B"/>
    <w:rsid w:val="00F302D0"/>
    <w:rsid w:val="00F31863"/>
    <w:rsid w:val="00F62C25"/>
    <w:rsid w:val="00FB3DCF"/>
    <w:rsid w:val="00FC5150"/>
    <w:rsid w:val="00FD2F4B"/>
    <w:rsid w:val="00FE7569"/>
    <w:rsid w:val="00FF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2E21"/>
  <w15:docId w15:val="{ED996EA0-FDEA-4CAE-8F4D-AE435EE0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3A7"/>
    <w:pPr>
      <w:ind w:left="720"/>
      <w:contextualSpacing/>
    </w:pPr>
  </w:style>
  <w:style w:type="paragraph" w:customStyle="1" w:styleId="ab">
    <w:name w:val="Назва документа"/>
    <w:basedOn w:val="a"/>
    <w:next w:val="a"/>
    <w:rsid w:val="009574A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c">
    <w:name w:val="Strong"/>
    <w:basedOn w:val="a0"/>
    <w:uiPriority w:val="22"/>
    <w:qFormat/>
    <w:rsid w:val="00684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DB88-B55A-4685-9BB9-7A507BC4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2020-06-02T09:48:00Z</cp:lastPrinted>
  <dcterms:created xsi:type="dcterms:W3CDTF">2020-05-26T08:02:00Z</dcterms:created>
  <dcterms:modified xsi:type="dcterms:W3CDTF">2020-09-23T11:24:00Z</dcterms:modified>
</cp:coreProperties>
</file>