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1B6685" w:rsidTr="00B61536">
        <w:tc>
          <w:tcPr>
            <w:tcW w:w="6345" w:type="dxa"/>
          </w:tcPr>
          <w:p w:rsidR="001B6685" w:rsidRDefault="001B6685" w:rsidP="00317064">
            <w:pPr>
              <w:jc w:val="right"/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B61536" w:rsidRDefault="00B61536" w:rsidP="00B61536">
            <w:pP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1B6685" w:rsidRDefault="00B61536" w:rsidP="00B61536">
            <w:pP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>до пояснювальної записки</w:t>
            </w:r>
          </w:p>
        </w:tc>
      </w:tr>
    </w:tbl>
    <w:p w:rsidR="00317064" w:rsidRDefault="00317064" w:rsidP="00317064">
      <w:pPr>
        <w:spacing w:after="0" w:line="240" w:lineRule="auto"/>
        <w:jc w:val="right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133D13" w:rsidRPr="00317064" w:rsidRDefault="00133D13" w:rsidP="00133D13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1B6685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ПРОГНОЗ ВПЛИВУ </w:t>
      </w:r>
    </w:p>
    <w:p w:rsidR="001840B4" w:rsidRPr="00317064" w:rsidRDefault="00133D13" w:rsidP="001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064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</w:t>
      </w:r>
      <w:r w:rsidR="00317064" w:rsidRPr="00317064">
        <w:rPr>
          <w:rFonts w:ascii="Times New Roman" w:hAnsi="Times New Roman" w:cs="Times New Roman"/>
          <w:b/>
          <w:sz w:val="28"/>
          <w:szCs w:val="28"/>
          <w:lang w:val="uk-UA"/>
        </w:rPr>
        <w:t>постанови Кабінету Міністрів України «Про затвердження Технічного регламенту піротехнічних виробів»</w:t>
      </w:r>
      <w:r w:rsidR="00455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064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на ключові інтереси заінтересованих сторін</w:t>
      </w:r>
    </w:p>
    <w:p w:rsidR="00133D13" w:rsidRP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Default="00133D13" w:rsidP="007601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7670B">
        <w:rPr>
          <w:rFonts w:ascii="Times New Roman" w:hAnsi="Times New Roman" w:cs="Times New Roman"/>
          <w:sz w:val="28"/>
          <w:szCs w:val="28"/>
          <w:lang w:val="uk-UA"/>
        </w:rPr>
        <w:t>Суть проекту акта</w:t>
      </w:r>
    </w:p>
    <w:p w:rsidR="005E0369" w:rsidRPr="009C34B6" w:rsidRDefault="005E0369" w:rsidP="0076014D">
      <w:pPr>
        <w:pStyle w:val="a5"/>
        <w:spacing w:before="0" w:after="0"/>
        <w:ind w:firstLine="709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Проект постанови Кабінету Міністрів України «Про затвердження Технічного регламенту піротехнічних виробів» дозволить привести </w:t>
      </w:r>
      <w:r w:rsidRPr="009C34B6">
        <w:rPr>
          <w:color w:val="000000"/>
          <w:szCs w:val="28"/>
          <w:lang w:val="uk-UA"/>
        </w:rPr>
        <w:t>нормативно-правов</w:t>
      </w:r>
      <w:r>
        <w:rPr>
          <w:color w:val="000000"/>
          <w:szCs w:val="28"/>
          <w:lang w:val="uk-UA"/>
        </w:rPr>
        <w:t>і</w:t>
      </w:r>
      <w:r w:rsidRPr="009C34B6">
        <w:rPr>
          <w:color w:val="000000"/>
          <w:szCs w:val="28"/>
          <w:lang w:val="uk-UA"/>
        </w:rPr>
        <w:t xml:space="preserve"> акт</w:t>
      </w:r>
      <w:r>
        <w:rPr>
          <w:color w:val="000000"/>
          <w:szCs w:val="28"/>
          <w:lang w:val="uk-UA"/>
        </w:rPr>
        <w:t>и</w:t>
      </w:r>
      <w:r w:rsidRPr="009C34B6">
        <w:rPr>
          <w:color w:val="000000"/>
          <w:szCs w:val="28"/>
          <w:lang w:val="uk-UA"/>
        </w:rPr>
        <w:t xml:space="preserve"> України з питань безпеки піротехнічних виробів </w:t>
      </w:r>
      <w:r>
        <w:rPr>
          <w:color w:val="000000"/>
          <w:szCs w:val="28"/>
          <w:lang w:val="uk-UA"/>
        </w:rPr>
        <w:t xml:space="preserve">у відповідність </w:t>
      </w:r>
      <w:r w:rsidRPr="009C34B6">
        <w:rPr>
          <w:color w:val="000000"/>
          <w:szCs w:val="28"/>
          <w:lang w:val="uk-UA"/>
        </w:rPr>
        <w:t>до вимог нормативно-правових актів держав-членів ЄС.</w:t>
      </w:r>
    </w:p>
    <w:p w:rsidR="00D7670B" w:rsidRDefault="00D7670B" w:rsidP="007601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7670B" w:rsidRDefault="00317064" w:rsidP="007601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Вплив на ключові інтереси в</w:t>
      </w:r>
      <w:r w:rsidR="00D7670B">
        <w:rPr>
          <w:rFonts w:ascii="Times New Roman" w:hAnsi="Times New Roman" w:cs="Times New Roman"/>
          <w:sz w:val="28"/>
          <w:szCs w:val="28"/>
          <w:lang w:val="uk-UA"/>
        </w:rPr>
        <w:t>сіх заінтересованих сторін</w:t>
      </w:r>
    </w:p>
    <w:p w:rsidR="00D7670B" w:rsidRDefault="00D7670B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701"/>
        <w:gridCol w:w="1559"/>
        <w:gridCol w:w="1560"/>
        <w:gridCol w:w="3225"/>
      </w:tblGrid>
      <w:tr w:rsidR="00D7670B" w:rsidRPr="00317064" w:rsidTr="00EB0C85">
        <w:tc>
          <w:tcPr>
            <w:tcW w:w="1809" w:type="dxa"/>
            <w:vMerge w:val="restart"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Заінтересована сторона</w:t>
            </w:r>
          </w:p>
        </w:tc>
        <w:tc>
          <w:tcPr>
            <w:tcW w:w="1701" w:type="dxa"/>
            <w:vMerge w:val="restart"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Ключовий інтерес</w:t>
            </w:r>
          </w:p>
        </w:tc>
        <w:tc>
          <w:tcPr>
            <w:tcW w:w="3119" w:type="dxa"/>
            <w:gridSpan w:val="2"/>
            <w:vAlign w:val="center"/>
          </w:tcPr>
          <w:p w:rsidR="00D7670B" w:rsidRPr="00317064" w:rsidRDefault="00D7670B" w:rsidP="00D7670B">
            <w:pPr>
              <w:jc w:val="center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(у числовому або якісному вимірі)</w:t>
            </w:r>
          </w:p>
        </w:tc>
        <w:tc>
          <w:tcPr>
            <w:tcW w:w="3225" w:type="dxa"/>
            <w:vMerge w:val="restart"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Пояснення (чому саме реалізація акта призведе до очікуваного впливу)</w:t>
            </w:r>
          </w:p>
        </w:tc>
      </w:tr>
      <w:tr w:rsidR="00D7670B" w:rsidRPr="00317064" w:rsidTr="00EB0C85">
        <w:tc>
          <w:tcPr>
            <w:tcW w:w="1809" w:type="dxa"/>
            <w:vMerge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7670B" w:rsidRPr="00317064" w:rsidRDefault="00E17E37" w:rsidP="00D7670B">
            <w:pPr>
              <w:jc w:val="center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К</w:t>
            </w:r>
            <w:r w:rsidR="00D7670B" w:rsidRPr="00317064">
              <w:rPr>
                <w:rStyle w:val="rvts0"/>
                <w:rFonts w:ascii="Times New Roman" w:hAnsi="Times New Roman" w:cs="Times New Roman"/>
              </w:rPr>
              <w:t>оротко</w:t>
            </w:r>
            <w:r w:rsidRPr="00317064">
              <w:rPr>
                <w:rStyle w:val="rvts0"/>
                <w:rFonts w:ascii="Times New Roman" w:hAnsi="Times New Roman" w:cs="Times New Roman"/>
                <w:lang w:val="uk-UA"/>
              </w:rPr>
              <w:t>-</w:t>
            </w:r>
            <w:r w:rsidR="00D7670B" w:rsidRPr="00317064">
              <w:rPr>
                <w:rStyle w:val="rvts0"/>
                <w:rFonts w:ascii="Times New Roman" w:hAnsi="Times New Roman" w:cs="Times New Roman"/>
              </w:rPr>
              <w:t xml:space="preserve">строковий вплив </w:t>
            </w:r>
          </w:p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(до року)</w:t>
            </w:r>
          </w:p>
        </w:tc>
        <w:tc>
          <w:tcPr>
            <w:tcW w:w="1560" w:type="dxa"/>
            <w:vAlign w:val="center"/>
          </w:tcPr>
          <w:p w:rsidR="00D7670B" w:rsidRPr="00317064" w:rsidRDefault="00E17E37" w:rsidP="00D7670B">
            <w:pPr>
              <w:jc w:val="center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С</w:t>
            </w:r>
            <w:r w:rsidR="00D7670B" w:rsidRPr="00317064">
              <w:rPr>
                <w:rStyle w:val="rvts0"/>
                <w:rFonts w:ascii="Times New Roman" w:hAnsi="Times New Roman" w:cs="Times New Roman"/>
              </w:rPr>
              <w:t>ередньо</w:t>
            </w:r>
            <w:r w:rsidRPr="00317064">
              <w:rPr>
                <w:rStyle w:val="rvts0"/>
                <w:rFonts w:ascii="Times New Roman" w:hAnsi="Times New Roman" w:cs="Times New Roman"/>
                <w:lang w:val="uk-UA"/>
              </w:rPr>
              <w:t>-</w:t>
            </w:r>
            <w:r w:rsidR="00D7670B" w:rsidRPr="00317064">
              <w:rPr>
                <w:rStyle w:val="rvts0"/>
                <w:rFonts w:ascii="Times New Roman" w:hAnsi="Times New Roman" w:cs="Times New Roman"/>
              </w:rPr>
              <w:t xml:space="preserve">строковий вплив </w:t>
            </w:r>
          </w:p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Style w:val="rvts0"/>
                <w:rFonts w:ascii="Times New Roman" w:hAnsi="Times New Roman" w:cs="Times New Roman"/>
              </w:rPr>
              <w:t>(більше року)</w:t>
            </w:r>
          </w:p>
        </w:tc>
        <w:tc>
          <w:tcPr>
            <w:tcW w:w="3225" w:type="dxa"/>
            <w:vMerge/>
            <w:vAlign w:val="center"/>
          </w:tcPr>
          <w:p w:rsidR="00D7670B" w:rsidRPr="00317064" w:rsidRDefault="00D7670B" w:rsidP="00D7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0C85" w:rsidRPr="00317064" w:rsidTr="00EB0C85">
        <w:tc>
          <w:tcPr>
            <w:tcW w:w="1809" w:type="dxa"/>
            <w:vAlign w:val="center"/>
          </w:tcPr>
          <w:p w:rsidR="00EB0C85" w:rsidRPr="00317064" w:rsidRDefault="00EB0C85" w:rsidP="00EB0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B0C85" w:rsidRPr="00317064" w:rsidRDefault="00EB0C85" w:rsidP="00EB0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EB0C85" w:rsidRPr="00317064" w:rsidRDefault="00EB0C85" w:rsidP="00EB0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EB0C85" w:rsidRPr="00317064" w:rsidRDefault="00EB0C85" w:rsidP="00EB0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25" w:type="dxa"/>
            <w:vAlign w:val="center"/>
          </w:tcPr>
          <w:p w:rsidR="00EB0C85" w:rsidRPr="00317064" w:rsidRDefault="00EB0C85" w:rsidP="00EB0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511FA" w:rsidRPr="00317064" w:rsidTr="00EB0C85">
        <w:tc>
          <w:tcPr>
            <w:tcW w:w="1809" w:type="dxa"/>
          </w:tcPr>
          <w:p w:rsidR="009511FA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Держава</w:t>
            </w:r>
          </w:p>
        </w:tc>
        <w:tc>
          <w:tcPr>
            <w:tcW w:w="1701" w:type="dxa"/>
          </w:tcPr>
          <w:p w:rsidR="009511FA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Виконання міжнародних зобов’язань</w:t>
            </w:r>
          </w:p>
        </w:tc>
        <w:tc>
          <w:tcPr>
            <w:tcW w:w="1559" w:type="dxa"/>
          </w:tcPr>
          <w:p w:rsidR="009511FA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560" w:type="dxa"/>
          </w:tcPr>
          <w:p w:rsidR="009511FA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3225" w:type="dxa"/>
          </w:tcPr>
          <w:p w:rsidR="009511FA" w:rsidRPr="00317064" w:rsidRDefault="00E17E37" w:rsidP="00EB0C85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Відповідно до положень статті</w:t>
            </w:r>
            <w:r w:rsidR="00EB0C85">
              <w:rPr>
                <w:rFonts w:ascii="Times New Roman" w:hAnsi="Times New Roman" w:cs="Times New Roman"/>
                <w:lang w:val="uk-UA"/>
              </w:rPr>
              <w:t> </w:t>
            </w:r>
            <w:r w:rsidRPr="00317064">
              <w:rPr>
                <w:rFonts w:ascii="Times New Roman" w:hAnsi="Times New Roman" w:cs="Times New Roman"/>
                <w:lang w:val="uk-UA"/>
              </w:rPr>
              <w:t>56 Угоди про асоціацію Україна має імплементувати положення актів законодавства ЄС до національного законодавства. Прийняття за</w:t>
            </w:r>
            <w:r w:rsidR="00164B05" w:rsidRPr="00317064">
              <w:rPr>
                <w:rFonts w:ascii="Times New Roman" w:hAnsi="Times New Roman" w:cs="Times New Roman"/>
                <w:lang w:val="uk-UA"/>
              </w:rPr>
              <w:t>значеного Технічного регламенту</w:t>
            </w:r>
            <w:r w:rsidRPr="00317064">
              <w:rPr>
                <w:rFonts w:ascii="Times New Roman" w:hAnsi="Times New Roman" w:cs="Times New Roman"/>
                <w:lang w:val="uk-UA"/>
              </w:rPr>
              <w:t>, який розроблено на основі Директиви Євросоюзу, сприятиме вирішенню цього питання</w:t>
            </w:r>
          </w:p>
        </w:tc>
      </w:tr>
      <w:tr w:rsidR="00D7670B" w:rsidRPr="00317064" w:rsidTr="00EB0C85">
        <w:tc>
          <w:tcPr>
            <w:tcW w:w="1809" w:type="dxa"/>
          </w:tcPr>
          <w:p w:rsidR="00D7670B" w:rsidRPr="00317064" w:rsidRDefault="00326DA2" w:rsidP="00317064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 xml:space="preserve">Суб’єкти </w:t>
            </w:r>
            <w:r w:rsidR="00317064">
              <w:rPr>
                <w:rFonts w:ascii="Times New Roman" w:hAnsi="Times New Roman" w:cs="Times New Roman"/>
                <w:lang w:val="uk-UA"/>
              </w:rPr>
              <w:t>господарюван</w:t>
            </w:r>
            <w:r w:rsidRPr="00317064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701" w:type="dxa"/>
          </w:tcPr>
          <w:p w:rsidR="00D7670B" w:rsidRPr="00317064" w:rsidRDefault="00E17E37" w:rsidP="00133D13">
            <w:pPr>
              <w:rPr>
                <w:rFonts w:ascii="Times New Roman CYR" w:hAnsi="Times New Roman CYR" w:cs="Times New Roman CYR"/>
                <w:lang w:val="uk-UA"/>
              </w:rPr>
            </w:pPr>
            <w:r w:rsidRPr="00317064">
              <w:rPr>
                <w:rFonts w:ascii="Times New Roman CYR" w:hAnsi="Times New Roman CYR" w:cs="Times New Roman CYR"/>
                <w:lang w:val="uk-UA"/>
              </w:rPr>
              <w:t>Прозорі та зрозумілі вимоги безпеки до піротехнічних виробів.</w:t>
            </w:r>
          </w:p>
          <w:p w:rsidR="00E17E37" w:rsidRPr="00317064" w:rsidRDefault="00E17E37" w:rsidP="00133D13">
            <w:pPr>
              <w:rPr>
                <w:lang w:val="uk-UA"/>
              </w:rPr>
            </w:pPr>
            <w:r w:rsidRPr="00317064">
              <w:rPr>
                <w:rFonts w:ascii="Times New Roman CYR" w:hAnsi="Times New Roman CYR" w:cs="Times New Roman CYR"/>
                <w:lang w:val="uk-UA"/>
              </w:rPr>
              <w:t>Зменшення регуляторного тиску</w:t>
            </w:r>
          </w:p>
        </w:tc>
        <w:tc>
          <w:tcPr>
            <w:tcW w:w="1559" w:type="dxa"/>
          </w:tcPr>
          <w:p w:rsidR="003505A8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Негативний</w:t>
            </w:r>
            <w:r w:rsidR="00954AF2" w:rsidRPr="00317064">
              <w:rPr>
                <w:rFonts w:ascii="Times New Roman" w:hAnsi="Times New Roman" w:cs="Times New Roman"/>
                <w:lang w:val="uk-UA"/>
              </w:rPr>
              <w:t xml:space="preserve"> ‒ виробникам та імпортерам необхідно буде привести вироби до вимог цього Технічного</w:t>
            </w:r>
            <w:r w:rsidR="00C329CF" w:rsidRPr="00317064">
              <w:rPr>
                <w:rFonts w:ascii="Times New Roman" w:hAnsi="Times New Roman" w:cs="Times New Roman"/>
                <w:lang w:val="uk-UA"/>
              </w:rPr>
              <w:t xml:space="preserve"> регламенту</w:t>
            </w:r>
            <w:r w:rsidR="00954AF2" w:rsidRPr="0031706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7670B" w:rsidRPr="00317064" w:rsidRDefault="009511FA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3225" w:type="dxa"/>
          </w:tcPr>
          <w:p w:rsidR="00954AF2" w:rsidRPr="00317064" w:rsidRDefault="00954AF2" w:rsidP="00954AF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Буде проводитися єдина політика</w:t>
            </w:r>
            <w:r w:rsidRPr="00317064">
              <w:rPr>
                <w:rFonts w:ascii="Times New Roman" w:eastAsia="Times New Roman" w:hAnsi="Times New Roman" w:cs="Times New Roman"/>
                <w:lang w:val="uk-UA"/>
              </w:rPr>
              <w:t xml:space="preserve"> щодо здійснення державного нагляду та контролю стосовно</w:t>
            </w:r>
            <w:r w:rsidRPr="00317064">
              <w:rPr>
                <w:rFonts w:ascii="Times New Roman" w:hAnsi="Times New Roman" w:cs="Times New Roman"/>
                <w:lang w:val="uk-UA"/>
              </w:rPr>
              <w:t xml:space="preserve"> піротехнічних виробів.</w:t>
            </w:r>
          </w:p>
          <w:p w:rsidR="00954AF2" w:rsidRPr="00317064" w:rsidRDefault="00954AF2" w:rsidP="00954AF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 xml:space="preserve">Усі суб’єкти господарювання повинні будуть </w:t>
            </w:r>
            <w:r w:rsidRPr="00317064">
              <w:rPr>
                <w:rFonts w:ascii="Times New Roman" w:eastAsia="Times New Roman" w:hAnsi="Times New Roman" w:cs="Times New Roman"/>
                <w:lang w:val="uk-UA"/>
              </w:rPr>
              <w:t>додерж</w:t>
            </w:r>
            <w:r w:rsidRPr="00317064">
              <w:rPr>
                <w:rFonts w:ascii="Times New Roman" w:hAnsi="Times New Roman" w:cs="Times New Roman"/>
                <w:lang w:val="uk-UA"/>
              </w:rPr>
              <w:t xml:space="preserve">уватися </w:t>
            </w:r>
            <w:r w:rsidRPr="00317064">
              <w:rPr>
                <w:rFonts w:ascii="Times New Roman" w:eastAsia="Times New Roman" w:hAnsi="Times New Roman" w:cs="Times New Roman"/>
                <w:lang w:val="uk-UA"/>
              </w:rPr>
              <w:t>єдиних правил, норм та стандартів стосовно</w:t>
            </w:r>
            <w:r w:rsidRPr="00317064">
              <w:rPr>
                <w:rFonts w:ascii="Times New Roman" w:hAnsi="Times New Roman" w:cs="Times New Roman"/>
                <w:lang w:val="uk-UA"/>
              </w:rPr>
              <w:t xml:space="preserve"> піротехнічних виробів</w:t>
            </w:r>
          </w:p>
          <w:p w:rsidR="00D7670B" w:rsidRDefault="00D7670B" w:rsidP="00954AF2">
            <w:pPr>
              <w:rPr>
                <w:rFonts w:ascii="Times New Roman" w:hAnsi="Times New Roman" w:cs="Times New Roman"/>
                <w:lang w:val="uk-UA"/>
              </w:rPr>
            </w:pPr>
          </w:p>
          <w:p w:rsidR="00EB0C85" w:rsidRPr="00317064" w:rsidRDefault="00EB0C85" w:rsidP="00954AF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52E77" w:rsidRDefault="00052E77" w:rsidP="00052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052E77" w:rsidRPr="00052E77" w:rsidRDefault="00052E77" w:rsidP="00052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701"/>
        <w:gridCol w:w="1559"/>
        <w:gridCol w:w="1560"/>
        <w:gridCol w:w="3225"/>
      </w:tblGrid>
      <w:tr w:rsidR="003505A8" w:rsidRPr="00317064" w:rsidTr="00EB0C85">
        <w:tc>
          <w:tcPr>
            <w:tcW w:w="1809" w:type="dxa"/>
            <w:vAlign w:val="center"/>
          </w:tcPr>
          <w:p w:rsidR="003505A8" w:rsidRPr="00317064" w:rsidRDefault="00EB0C85" w:rsidP="00260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505A8" w:rsidRPr="00317064" w:rsidRDefault="00EB0C85" w:rsidP="00260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3505A8" w:rsidRPr="00317064" w:rsidRDefault="00EB0C85" w:rsidP="00260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3505A8" w:rsidRPr="00317064" w:rsidRDefault="00EB0C85" w:rsidP="00260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25" w:type="dxa"/>
            <w:vAlign w:val="center"/>
          </w:tcPr>
          <w:p w:rsidR="003505A8" w:rsidRPr="00317064" w:rsidRDefault="00EB0C85" w:rsidP="00260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7670B" w:rsidRPr="00317064" w:rsidTr="00EB0C85">
        <w:tc>
          <w:tcPr>
            <w:tcW w:w="1809" w:type="dxa"/>
          </w:tcPr>
          <w:p w:rsidR="00D7670B" w:rsidRPr="00317064" w:rsidRDefault="00326DA2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Споживачі</w:t>
            </w:r>
          </w:p>
        </w:tc>
        <w:tc>
          <w:tcPr>
            <w:tcW w:w="1701" w:type="dxa"/>
          </w:tcPr>
          <w:p w:rsidR="00D7670B" w:rsidRPr="00317064" w:rsidRDefault="00326DA2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Безпечність піротехнічних виробів</w:t>
            </w:r>
          </w:p>
        </w:tc>
        <w:tc>
          <w:tcPr>
            <w:tcW w:w="1559" w:type="dxa"/>
          </w:tcPr>
          <w:p w:rsidR="00D7670B" w:rsidRPr="00317064" w:rsidRDefault="00326DA2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560" w:type="dxa"/>
          </w:tcPr>
          <w:p w:rsidR="00D7670B" w:rsidRPr="00317064" w:rsidRDefault="00326DA2" w:rsidP="00133D13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3225" w:type="dxa"/>
          </w:tcPr>
          <w:p w:rsidR="00D7670B" w:rsidRPr="00317064" w:rsidRDefault="00326DA2" w:rsidP="003505A8">
            <w:pPr>
              <w:rPr>
                <w:rFonts w:ascii="Times New Roman" w:hAnsi="Times New Roman" w:cs="Times New Roman"/>
                <w:lang w:val="uk-UA"/>
              </w:rPr>
            </w:pPr>
            <w:r w:rsidRPr="00317064">
              <w:rPr>
                <w:rFonts w:ascii="Times New Roman" w:hAnsi="Times New Roman" w:cs="Times New Roman"/>
                <w:lang w:val="uk-UA"/>
              </w:rPr>
              <w:t xml:space="preserve">Надання на ринку безпечних </w:t>
            </w:r>
            <w:r w:rsidR="003505A8" w:rsidRPr="00317064">
              <w:rPr>
                <w:rFonts w:ascii="Times New Roman" w:hAnsi="Times New Roman" w:cs="Times New Roman"/>
                <w:lang w:val="uk-UA"/>
              </w:rPr>
              <w:t>виробів</w:t>
            </w:r>
          </w:p>
        </w:tc>
      </w:tr>
    </w:tbl>
    <w:p w:rsidR="00D7670B" w:rsidRPr="00133D13" w:rsidRDefault="00D7670B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P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D13" w:rsidRPr="00133D13" w:rsidRDefault="00133D13" w:rsidP="00133D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D13" w:rsidRPr="00133D13" w:rsidSect="00FF233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6B" w:rsidRDefault="0060146B" w:rsidP="00FF233F">
      <w:pPr>
        <w:spacing w:after="0" w:line="240" w:lineRule="auto"/>
      </w:pPr>
      <w:r>
        <w:separator/>
      </w:r>
    </w:p>
  </w:endnote>
  <w:endnote w:type="continuationSeparator" w:id="1">
    <w:p w:rsidR="0060146B" w:rsidRDefault="0060146B" w:rsidP="00FF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6B" w:rsidRDefault="0060146B" w:rsidP="00FF233F">
      <w:pPr>
        <w:spacing w:after="0" w:line="240" w:lineRule="auto"/>
      </w:pPr>
      <w:r>
        <w:separator/>
      </w:r>
    </w:p>
  </w:footnote>
  <w:footnote w:type="continuationSeparator" w:id="1">
    <w:p w:rsidR="0060146B" w:rsidRDefault="0060146B" w:rsidP="00FF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3495"/>
      <w:docPartObj>
        <w:docPartGallery w:val="Page Numbers (Top of Page)"/>
        <w:docPartUnique/>
      </w:docPartObj>
    </w:sdtPr>
    <w:sdtContent>
      <w:p w:rsidR="00FF233F" w:rsidRDefault="00FF233F">
        <w:pPr>
          <w:pStyle w:val="a9"/>
          <w:jc w:val="center"/>
        </w:pPr>
        <w:r w:rsidRPr="00FF2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23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2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23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33F" w:rsidRDefault="00FF233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D13"/>
    <w:rsid w:val="00052E77"/>
    <w:rsid w:val="00133D13"/>
    <w:rsid w:val="00135C8B"/>
    <w:rsid w:val="00164B05"/>
    <w:rsid w:val="001840B4"/>
    <w:rsid w:val="001B6685"/>
    <w:rsid w:val="00317064"/>
    <w:rsid w:val="00326DA2"/>
    <w:rsid w:val="003505A8"/>
    <w:rsid w:val="0045537E"/>
    <w:rsid w:val="00460118"/>
    <w:rsid w:val="004915BD"/>
    <w:rsid w:val="005E0369"/>
    <w:rsid w:val="0060146B"/>
    <w:rsid w:val="00614C03"/>
    <w:rsid w:val="006F5B4D"/>
    <w:rsid w:val="0076014D"/>
    <w:rsid w:val="009511FA"/>
    <w:rsid w:val="00954AF2"/>
    <w:rsid w:val="00B225F5"/>
    <w:rsid w:val="00B546B4"/>
    <w:rsid w:val="00B61536"/>
    <w:rsid w:val="00BA412A"/>
    <w:rsid w:val="00C329CF"/>
    <w:rsid w:val="00CA0BBB"/>
    <w:rsid w:val="00D23E4D"/>
    <w:rsid w:val="00D370A2"/>
    <w:rsid w:val="00D7670B"/>
    <w:rsid w:val="00DE705C"/>
    <w:rsid w:val="00E17E37"/>
    <w:rsid w:val="00EB0C85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33D13"/>
  </w:style>
  <w:style w:type="paragraph" w:styleId="a3">
    <w:name w:val="List Paragraph"/>
    <w:basedOn w:val="a"/>
    <w:uiPriority w:val="34"/>
    <w:qFormat/>
    <w:rsid w:val="00133D13"/>
    <w:pPr>
      <w:ind w:left="720"/>
      <w:contextualSpacing/>
    </w:pPr>
  </w:style>
  <w:style w:type="table" w:styleId="a4">
    <w:name w:val="Table Grid"/>
    <w:basedOn w:val="a1"/>
    <w:uiPriority w:val="59"/>
    <w:rsid w:val="00D7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D7670B"/>
  </w:style>
  <w:style w:type="paragraph" w:styleId="a5">
    <w:name w:val="Body Text"/>
    <w:basedOn w:val="a"/>
    <w:link w:val="a6"/>
    <w:rsid w:val="005E036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E03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3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FF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F233F"/>
  </w:style>
  <w:style w:type="paragraph" w:styleId="ab">
    <w:name w:val="footer"/>
    <w:basedOn w:val="a"/>
    <w:link w:val="ac"/>
    <w:uiPriority w:val="99"/>
    <w:semiHidden/>
    <w:unhideWhenUsed/>
    <w:rsid w:val="00FF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SNG</cp:lastModifiedBy>
  <cp:revision>7</cp:revision>
  <cp:lastPrinted>2018-09-28T08:30:00Z</cp:lastPrinted>
  <dcterms:created xsi:type="dcterms:W3CDTF">2018-09-27T12:45:00Z</dcterms:created>
  <dcterms:modified xsi:type="dcterms:W3CDTF">2018-10-05T11:16:00Z</dcterms:modified>
</cp:coreProperties>
</file>