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6D" w:rsidRDefault="0042604A">
      <w:pPr>
        <w:spacing w:after="0" w:line="240" w:lineRule="auto"/>
        <w:ind w:left="5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3</w:t>
      </w:r>
      <w:r>
        <w:rPr>
          <w:rFonts w:ascii="Times New Roman" w:hAnsi="Times New Roman"/>
          <w:sz w:val="24"/>
          <w:szCs w:val="24"/>
        </w:rPr>
        <w:br/>
        <w:t>до Методики проведення аналізу впливу регуляторного акта</w:t>
      </w:r>
    </w:p>
    <w:p w:rsidR="00F9546D" w:rsidRDefault="00F9546D">
      <w:pPr>
        <w:spacing w:after="0" w:line="240" w:lineRule="auto"/>
        <w:ind w:left="5216"/>
        <w:rPr>
          <w:rFonts w:ascii="Times New Roman" w:hAnsi="Times New Roman"/>
          <w:sz w:val="24"/>
          <w:szCs w:val="24"/>
        </w:rPr>
      </w:pPr>
    </w:p>
    <w:p w:rsidR="00F9546D" w:rsidRDefault="00F9546D">
      <w:pPr>
        <w:spacing w:after="0" w:line="240" w:lineRule="auto"/>
        <w:ind w:left="5216"/>
        <w:rPr>
          <w:rFonts w:ascii="Times New Roman" w:hAnsi="Times New Roman"/>
          <w:sz w:val="24"/>
          <w:szCs w:val="24"/>
        </w:rPr>
      </w:pPr>
    </w:p>
    <w:p w:rsidR="00F9546D" w:rsidRDefault="0042604A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БЮДЖЕТНІ ВИТРАТИ</w:t>
      </w:r>
    </w:p>
    <w:p w:rsidR="00F9546D" w:rsidRDefault="0042604A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на адміністрування регулювання для суб’єктів великого</w:t>
      </w:r>
      <w:r>
        <w:rPr>
          <w:rFonts w:ascii="Times New Roman" w:hAnsi="Times New Roman"/>
          <w:b/>
          <w:sz w:val="28"/>
          <w:szCs w:val="26"/>
        </w:rPr>
        <w:br/>
        <w:t>і середнього підприємництва</w:t>
      </w:r>
    </w:p>
    <w:p w:rsidR="00F9546D" w:rsidRDefault="00F9546D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F9546D" w:rsidRDefault="0042604A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Державний орган, для якого здійснюється розрахунок адміністрування регулювання:</w:t>
      </w:r>
    </w:p>
    <w:p w:rsidR="00F9546D" w:rsidRDefault="00F9546D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F9546D" w:rsidRDefault="00755313">
      <w:pPr>
        <w:spacing w:after="0" w:line="240" w:lineRule="auto"/>
        <w:jc w:val="center"/>
        <w:rPr>
          <w:rFonts w:ascii="Times New Roman" w:hAnsi="Times New Roman"/>
          <w:sz w:val="28"/>
          <w:szCs w:val="26"/>
          <w:u w:val="single"/>
        </w:rPr>
      </w:pPr>
      <w:proofErr w:type="spellStart"/>
      <w:r>
        <w:rPr>
          <w:rFonts w:ascii="Times New Roman" w:hAnsi="Times New Roman"/>
          <w:sz w:val="28"/>
          <w:szCs w:val="26"/>
          <w:u w:val="single"/>
          <w:lang w:val="ru-RU"/>
        </w:rPr>
        <w:t>Головний</w:t>
      </w:r>
      <w:proofErr w:type="spellEnd"/>
      <w:r>
        <w:rPr>
          <w:rFonts w:ascii="Times New Roman" w:hAnsi="Times New Roman"/>
          <w:sz w:val="28"/>
          <w:szCs w:val="26"/>
          <w:u w:val="single"/>
          <w:lang w:val="ru-RU"/>
        </w:rPr>
        <w:t xml:space="preserve"> сер</w:t>
      </w:r>
      <w:r>
        <w:rPr>
          <w:rFonts w:ascii="Times New Roman" w:hAnsi="Times New Roman"/>
          <w:sz w:val="28"/>
          <w:szCs w:val="26"/>
          <w:u w:val="single"/>
        </w:rPr>
        <w:t xml:space="preserve">вісний центр МВС </w:t>
      </w:r>
    </w:p>
    <w:p w:rsidR="00F9546D" w:rsidRDefault="0042604A">
      <w:pPr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(назва державного органу)</w:t>
      </w:r>
    </w:p>
    <w:p w:rsidR="00F9546D" w:rsidRDefault="00F9546D">
      <w:pPr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253"/>
        <w:gridCol w:w="1313"/>
        <w:gridCol w:w="1332"/>
        <w:gridCol w:w="1085"/>
      </w:tblGrid>
      <w:tr w:rsidR="00F9546D">
        <w:trPr>
          <w:trHeight w:val="2839"/>
        </w:trPr>
        <w:tc>
          <w:tcPr>
            <w:tcW w:w="3369" w:type="dxa"/>
            <w:vAlign w:val="center"/>
          </w:tcPr>
          <w:p w:rsidR="00F9546D" w:rsidRDefault="004260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  <w:r>
              <w:rPr>
                <w:rFonts w:ascii="Times New Roman" w:eastAsia="Calibri" w:hAnsi="Times New Roman"/>
                <w:sz w:val="20"/>
                <w:szCs w:val="26"/>
              </w:rPr>
              <w:t>Процедура регулювання суб’єктів великого і середнього підприємництва (розрахунок на одного типового суб’єкта господарювання)</w:t>
            </w:r>
          </w:p>
        </w:tc>
        <w:tc>
          <w:tcPr>
            <w:tcW w:w="1275" w:type="dxa"/>
            <w:vAlign w:val="center"/>
          </w:tcPr>
          <w:p w:rsidR="00F9546D" w:rsidRDefault="004260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  <w:r>
              <w:rPr>
                <w:rFonts w:ascii="Times New Roman" w:eastAsia="Calibri" w:hAnsi="Times New Roman"/>
                <w:sz w:val="20"/>
                <w:szCs w:val="26"/>
              </w:rPr>
              <w:t>Планові витрати часу на процедуру </w:t>
            </w:r>
            <w:r>
              <w:rPr>
                <w:rFonts w:ascii="Times New Roman" w:hAnsi="Times New Roman"/>
                <w:sz w:val="20"/>
                <w:szCs w:val="26"/>
              </w:rPr>
              <w:t>*</w:t>
            </w:r>
          </w:p>
        </w:tc>
        <w:tc>
          <w:tcPr>
            <w:tcW w:w="1253" w:type="dxa"/>
            <w:vAlign w:val="center"/>
          </w:tcPr>
          <w:p w:rsidR="00F9546D" w:rsidRDefault="004260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  <w:r>
              <w:rPr>
                <w:rFonts w:ascii="Times New Roman" w:eastAsia="Calibri" w:hAnsi="Times New Roman"/>
                <w:sz w:val="20"/>
                <w:szCs w:val="26"/>
              </w:rPr>
              <w:t>Вартість часу працівника органу державної влади відповідної категорії (заробітна плата)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 **</w:t>
            </w:r>
          </w:p>
        </w:tc>
        <w:tc>
          <w:tcPr>
            <w:tcW w:w="1313" w:type="dxa"/>
            <w:vAlign w:val="center"/>
          </w:tcPr>
          <w:p w:rsidR="00F9546D" w:rsidRDefault="004260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  <w:r>
              <w:rPr>
                <w:rFonts w:ascii="Times New Roman" w:eastAsia="Calibri" w:hAnsi="Times New Roman"/>
                <w:sz w:val="20"/>
                <w:szCs w:val="26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1332" w:type="dxa"/>
            <w:vAlign w:val="center"/>
          </w:tcPr>
          <w:p w:rsidR="00F9546D" w:rsidRDefault="004260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  <w:r>
              <w:rPr>
                <w:rFonts w:ascii="Times New Roman" w:eastAsia="Calibri" w:hAnsi="Times New Roman"/>
                <w:sz w:val="20"/>
                <w:szCs w:val="26"/>
              </w:rPr>
              <w:t>Оцінка кількості суб’єктів, що підпадають під дію процедури регулювання</w:t>
            </w:r>
          </w:p>
        </w:tc>
        <w:tc>
          <w:tcPr>
            <w:tcW w:w="1085" w:type="dxa"/>
            <w:vAlign w:val="center"/>
          </w:tcPr>
          <w:p w:rsidR="00F9546D" w:rsidRDefault="004260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  <w:r>
              <w:rPr>
                <w:rFonts w:ascii="Times New Roman" w:eastAsia="Calibri" w:hAnsi="Times New Roman"/>
                <w:sz w:val="20"/>
                <w:szCs w:val="26"/>
              </w:rPr>
              <w:t>Витрати на адмініст</w:t>
            </w:r>
            <w:r>
              <w:rPr>
                <w:rFonts w:ascii="Times New Roman" w:eastAsia="Calibri" w:hAnsi="Times New Roman"/>
                <w:sz w:val="20"/>
                <w:szCs w:val="26"/>
              </w:rPr>
              <w:softHyphen/>
              <w:t>рування (за рік), гривень</w:t>
            </w:r>
          </w:p>
        </w:tc>
      </w:tr>
      <w:tr w:rsidR="00F9546D">
        <w:tc>
          <w:tcPr>
            <w:tcW w:w="3369" w:type="dxa"/>
          </w:tcPr>
          <w:p w:rsidR="00F9546D" w:rsidRDefault="0042604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6"/>
              </w:rPr>
            </w:pPr>
            <w:r>
              <w:rPr>
                <w:rFonts w:ascii="Times New Roman" w:eastAsia="Calibri" w:hAnsi="Times New Roman"/>
                <w:sz w:val="20"/>
                <w:szCs w:val="26"/>
              </w:rPr>
              <w:t>1. Облік суб’єкта господарювання, що перебуває у сфері регулювання</w:t>
            </w:r>
          </w:p>
        </w:tc>
        <w:tc>
          <w:tcPr>
            <w:tcW w:w="1275" w:type="dxa"/>
          </w:tcPr>
          <w:p w:rsidR="00F9546D" w:rsidRDefault="00F95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  <w:tc>
          <w:tcPr>
            <w:tcW w:w="1253" w:type="dxa"/>
          </w:tcPr>
          <w:p w:rsidR="00F9546D" w:rsidRDefault="00F95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  <w:tc>
          <w:tcPr>
            <w:tcW w:w="1313" w:type="dxa"/>
          </w:tcPr>
          <w:p w:rsidR="00F9546D" w:rsidRDefault="00F95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  <w:tc>
          <w:tcPr>
            <w:tcW w:w="1332" w:type="dxa"/>
          </w:tcPr>
          <w:p w:rsidR="00F9546D" w:rsidRDefault="00F95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  <w:tc>
          <w:tcPr>
            <w:tcW w:w="1085" w:type="dxa"/>
          </w:tcPr>
          <w:p w:rsidR="00F9546D" w:rsidRDefault="00F95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</w:tr>
      <w:tr w:rsidR="00F9546D">
        <w:tc>
          <w:tcPr>
            <w:tcW w:w="3369" w:type="dxa"/>
          </w:tcPr>
          <w:p w:rsidR="00F9546D" w:rsidRDefault="0042604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6"/>
              </w:rPr>
            </w:pPr>
            <w:r>
              <w:rPr>
                <w:rFonts w:ascii="Times New Roman" w:eastAsia="Calibri" w:hAnsi="Times New Roman"/>
                <w:sz w:val="20"/>
                <w:szCs w:val="26"/>
              </w:rPr>
              <w:t>2. 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1275" w:type="dxa"/>
          </w:tcPr>
          <w:p w:rsidR="00F9546D" w:rsidRDefault="00F95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  <w:tc>
          <w:tcPr>
            <w:tcW w:w="1253" w:type="dxa"/>
          </w:tcPr>
          <w:p w:rsidR="00F9546D" w:rsidRDefault="00F95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  <w:tc>
          <w:tcPr>
            <w:tcW w:w="1313" w:type="dxa"/>
          </w:tcPr>
          <w:p w:rsidR="00F9546D" w:rsidRDefault="00F95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  <w:tc>
          <w:tcPr>
            <w:tcW w:w="1332" w:type="dxa"/>
          </w:tcPr>
          <w:p w:rsidR="00F9546D" w:rsidRDefault="00F95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  <w:tc>
          <w:tcPr>
            <w:tcW w:w="1085" w:type="dxa"/>
          </w:tcPr>
          <w:p w:rsidR="00F9546D" w:rsidRDefault="00F95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</w:tr>
      <w:tr w:rsidR="00F9546D">
        <w:tc>
          <w:tcPr>
            <w:tcW w:w="3369" w:type="dxa"/>
          </w:tcPr>
          <w:p w:rsidR="00F9546D" w:rsidRDefault="0042604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6"/>
              </w:rPr>
            </w:pPr>
            <w:r>
              <w:rPr>
                <w:rFonts w:ascii="Times New Roman" w:eastAsia="Calibri" w:hAnsi="Times New Roman"/>
                <w:sz w:val="20"/>
                <w:szCs w:val="26"/>
              </w:rPr>
              <w:t>камеральні</w:t>
            </w:r>
          </w:p>
        </w:tc>
        <w:tc>
          <w:tcPr>
            <w:tcW w:w="1275" w:type="dxa"/>
          </w:tcPr>
          <w:p w:rsidR="00F9546D" w:rsidRDefault="00F95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  <w:tc>
          <w:tcPr>
            <w:tcW w:w="1253" w:type="dxa"/>
          </w:tcPr>
          <w:p w:rsidR="00F9546D" w:rsidRDefault="00F95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  <w:tc>
          <w:tcPr>
            <w:tcW w:w="1313" w:type="dxa"/>
          </w:tcPr>
          <w:p w:rsidR="00F9546D" w:rsidRDefault="00F95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  <w:tc>
          <w:tcPr>
            <w:tcW w:w="1332" w:type="dxa"/>
          </w:tcPr>
          <w:p w:rsidR="00F9546D" w:rsidRDefault="00F95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  <w:tc>
          <w:tcPr>
            <w:tcW w:w="1085" w:type="dxa"/>
          </w:tcPr>
          <w:p w:rsidR="00F9546D" w:rsidRDefault="00F95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</w:tr>
      <w:tr w:rsidR="00F9546D">
        <w:tc>
          <w:tcPr>
            <w:tcW w:w="3369" w:type="dxa"/>
          </w:tcPr>
          <w:p w:rsidR="00F9546D" w:rsidRDefault="0042604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6"/>
              </w:rPr>
            </w:pPr>
            <w:r>
              <w:rPr>
                <w:rFonts w:ascii="Times New Roman" w:eastAsia="Calibri" w:hAnsi="Times New Roman"/>
                <w:sz w:val="20"/>
                <w:szCs w:val="26"/>
              </w:rPr>
              <w:t>виїзні</w:t>
            </w:r>
          </w:p>
        </w:tc>
        <w:tc>
          <w:tcPr>
            <w:tcW w:w="1275" w:type="dxa"/>
          </w:tcPr>
          <w:p w:rsidR="00F9546D" w:rsidRDefault="00F95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  <w:tc>
          <w:tcPr>
            <w:tcW w:w="1253" w:type="dxa"/>
          </w:tcPr>
          <w:p w:rsidR="00F9546D" w:rsidRDefault="00F95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  <w:tc>
          <w:tcPr>
            <w:tcW w:w="1313" w:type="dxa"/>
          </w:tcPr>
          <w:p w:rsidR="00F9546D" w:rsidRDefault="00F95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  <w:tc>
          <w:tcPr>
            <w:tcW w:w="1332" w:type="dxa"/>
          </w:tcPr>
          <w:p w:rsidR="00F9546D" w:rsidRDefault="00F95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  <w:tc>
          <w:tcPr>
            <w:tcW w:w="1085" w:type="dxa"/>
          </w:tcPr>
          <w:p w:rsidR="00F9546D" w:rsidRDefault="00F95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</w:tr>
      <w:tr w:rsidR="00F9546D">
        <w:tc>
          <w:tcPr>
            <w:tcW w:w="3369" w:type="dxa"/>
          </w:tcPr>
          <w:p w:rsidR="00F9546D" w:rsidRDefault="0042604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6"/>
              </w:rPr>
            </w:pPr>
            <w:r>
              <w:rPr>
                <w:rFonts w:ascii="Times New Roman" w:eastAsia="Calibri" w:hAnsi="Times New Roman"/>
                <w:sz w:val="20"/>
                <w:szCs w:val="26"/>
              </w:rPr>
              <w:t>3. 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1275" w:type="dxa"/>
          </w:tcPr>
          <w:p w:rsidR="00F9546D" w:rsidRDefault="00F95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  <w:tc>
          <w:tcPr>
            <w:tcW w:w="1253" w:type="dxa"/>
          </w:tcPr>
          <w:p w:rsidR="00F9546D" w:rsidRDefault="00F95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  <w:tc>
          <w:tcPr>
            <w:tcW w:w="1313" w:type="dxa"/>
          </w:tcPr>
          <w:p w:rsidR="00F9546D" w:rsidRDefault="00F95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  <w:tc>
          <w:tcPr>
            <w:tcW w:w="1332" w:type="dxa"/>
          </w:tcPr>
          <w:p w:rsidR="00F9546D" w:rsidRDefault="00F95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  <w:tc>
          <w:tcPr>
            <w:tcW w:w="1085" w:type="dxa"/>
          </w:tcPr>
          <w:p w:rsidR="00F9546D" w:rsidRDefault="00F95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</w:tr>
      <w:tr w:rsidR="00F9546D">
        <w:tc>
          <w:tcPr>
            <w:tcW w:w="3369" w:type="dxa"/>
          </w:tcPr>
          <w:p w:rsidR="00F9546D" w:rsidRDefault="0042604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6"/>
              </w:rPr>
            </w:pPr>
            <w:r>
              <w:rPr>
                <w:rFonts w:ascii="Times New Roman" w:eastAsia="Calibri" w:hAnsi="Times New Roman"/>
                <w:sz w:val="20"/>
                <w:szCs w:val="26"/>
              </w:rPr>
              <w:t>4. Реалізація одного окремого рішення щодо порушення вимог регулювання</w:t>
            </w:r>
          </w:p>
        </w:tc>
        <w:tc>
          <w:tcPr>
            <w:tcW w:w="1275" w:type="dxa"/>
          </w:tcPr>
          <w:p w:rsidR="00F9546D" w:rsidRDefault="00F95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  <w:tc>
          <w:tcPr>
            <w:tcW w:w="1253" w:type="dxa"/>
          </w:tcPr>
          <w:p w:rsidR="00F9546D" w:rsidRDefault="00F95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  <w:tc>
          <w:tcPr>
            <w:tcW w:w="1313" w:type="dxa"/>
          </w:tcPr>
          <w:p w:rsidR="00F9546D" w:rsidRDefault="00F95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  <w:tc>
          <w:tcPr>
            <w:tcW w:w="1332" w:type="dxa"/>
          </w:tcPr>
          <w:p w:rsidR="00F9546D" w:rsidRDefault="00F95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  <w:tc>
          <w:tcPr>
            <w:tcW w:w="1085" w:type="dxa"/>
          </w:tcPr>
          <w:p w:rsidR="00F9546D" w:rsidRDefault="00F95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</w:tr>
      <w:tr w:rsidR="00F9546D">
        <w:tc>
          <w:tcPr>
            <w:tcW w:w="3369" w:type="dxa"/>
          </w:tcPr>
          <w:p w:rsidR="00F9546D" w:rsidRDefault="0042604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6"/>
              </w:rPr>
            </w:pPr>
            <w:r>
              <w:rPr>
                <w:rFonts w:ascii="Times New Roman" w:eastAsia="Calibri" w:hAnsi="Times New Roman"/>
                <w:sz w:val="20"/>
                <w:szCs w:val="26"/>
              </w:rPr>
              <w:t>5. Оскарження одного окремого рішення суб’єкта господарювання</w:t>
            </w:r>
          </w:p>
        </w:tc>
        <w:tc>
          <w:tcPr>
            <w:tcW w:w="1275" w:type="dxa"/>
          </w:tcPr>
          <w:p w:rsidR="00F9546D" w:rsidRDefault="00F95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  <w:tc>
          <w:tcPr>
            <w:tcW w:w="1253" w:type="dxa"/>
          </w:tcPr>
          <w:p w:rsidR="00F9546D" w:rsidRDefault="00F95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  <w:tc>
          <w:tcPr>
            <w:tcW w:w="1313" w:type="dxa"/>
          </w:tcPr>
          <w:p w:rsidR="00F9546D" w:rsidRDefault="00F95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  <w:tc>
          <w:tcPr>
            <w:tcW w:w="1332" w:type="dxa"/>
          </w:tcPr>
          <w:p w:rsidR="00F9546D" w:rsidRDefault="00F95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  <w:tc>
          <w:tcPr>
            <w:tcW w:w="1085" w:type="dxa"/>
          </w:tcPr>
          <w:p w:rsidR="00F9546D" w:rsidRDefault="00F95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</w:tr>
      <w:tr w:rsidR="00F9546D">
        <w:tc>
          <w:tcPr>
            <w:tcW w:w="3369" w:type="dxa"/>
          </w:tcPr>
          <w:p w:rsidR="00F9546D" w:rsidRDefault="0042604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6"/>
              </w:rPr>
            </w:pPr>
            <w:r>
              <w:rPr>
                <w:rFonts w:ascii="Times New Roman" w:eastAsia="Calibri" w:hAnsi="Times New Roman"/>
                <w:sz w:val="20"/>
                <w:szCs w:val="26"/>
              </w:rPr>
              <w:t>6. Підготовка звітності за результатами регулювання</w:t>
            </w:r>
          </w:p>
        </w:tc>
        <w:tc>
          <w:tcPr>
            <w:tcW w:w="1275" w:type="dxa"/>
          </w:tcPr>
          <w:p w:rsidR="00F9546D" w:rsidRDefault="00F95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  <w:tc>
          <w:tcPr>
            <w:tcW w:w="1253" w:type="dxa"/>
          </w:tcPr>
          <w:p w:rsidR="00F9546D" w:rsidRDefault="00F95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  <w:tc>
          <w:tcPr>
            <w:tcW w:w="1313" w:type="dxa"/>
          </w:tcPr>
          <w:p w:rsidR="00F9546D" w:rsidRDefault="00F95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  <w:tc>
          <w:tcPr>
            <w:tcW w:w="1332" w:type="dxa"/>
          </w:tcPr>
          <w:p w:rsidR="00F9546D" w:rsidRDefault="00F95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  <w:tc>
          <w:tcPr>
            <w:tcW w:w="1085" w:type="dxa"/>
          </w:tcPr>
          <w:p w:rsidR="00F9546D" w:rsidRDefault="00F95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</w:tr>
      <w:tr w:rsidR="00755313" w:rsidTr="00755313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13" w:rsidRPr="00755313" w:rsidRDefault="00755313" w:rsidP="0075531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6"/>
              </w:rPr>
            </w:pPr>
            <w:r w:rsidRPr="00755313">
              <w:rPr>
                <w:rFonts w:ascii="Times New Roman" w:eastAsia="Calibri" w:hAnsi="Times New Roman"/>
                <w:sz w:val="20"/>
                <w:szCs w:val="26"/>
              </w:rPr>
              <w:t>7. Інші адміністративні процедури (уточнити)</w:t>
            </w:r>
          </w:p>
          <w:p w:rsidR="00755313" w:rsidRPr="00755313" w:rsidRDefault="00755313" w:rsidP="0075531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6"/>
              </w:rPr>
            </w:pPr>
            <w:r w:rsidRPr="00755313">
              <w:rPr>
                <w:rFonts w:ascii="Times New Roman" w:eastAsia="Calibri" w:hAnsi="Times New Roman"/>
                <w:sz w:val="20"/>
                <w:szCs w:val="26"/>
              </w:rPr>
              <w:t>Відрядження: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13" w:rsidRPr="00755313" w:rsidRDefault="00755313" w:rsidP="007553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  <w:r w:rsidRPr="00755313">
              <w:rPr>
                <w:rFonts w:ascii="Times New Roman" w:eastAsia="Calibri" w:hAnsi="Times New Roman"/>
                <w:sz w:val="20"/>
                <w:szCs w:val="26"/>
              </w:rPr>
              <w:t>48 год</w:t>
            </w:r>
          </w:p>
        </w:tc>
        <w:tc>
          <w:tcPr>
            <w:tcW w:w="1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13" w:rsidRPr="00755313" w:rsidRDefault="00755313" w:rsidP="007553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  <w:r w:rsidRPr="00755313">
              <w:rPr>
                <w:rFonts w:ascii="Times New Roman" w:eastAsia="Calibri" w:hAnsi="Times New Roman"/>
                <w:sz w:val="20"/>
                <w:szCs w:val="26"/>
              </w:rPr>
              <w:t>32,50 грн*</w:t>
            </w:r>
          </w:p>
        </w:tc>
        <w:tc>
          <w:tcPr>
            <w:tcW w:w="1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13" w:rsidRPr="00755313" w:rsidRDefault="00755313" w:rsidP="007553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  <w:r w:rsidRPr="00755313">
              <w:rPr>
                <w:rFonts w:ascii="Times New Roman" w:eastAsia="Calibri" w:hAnsi="Times New Roman"/>
                <w:sz w:val="20"/>
                <w:szCs w:val="26"/>
              </w:rPr>
              <w:t>24</w:t>
            </w: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13" w:rsidRPr="00755313" w:rsidRDefault="00755313" w:rsidP="007553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13" w:rsidRPr="00755313" w:rsidRDefault="00755313" w:rsidP="007553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  <w:r w:rsidRPr="00755313">
              <w:rPr>
                <w:rFonts w:ascii="Times New Roman" w:eastAsia="Calibri" w:hAnsi="Times New Roman"/>
                <w:sz w:val="20"/>
                <w:szCs w:val="26"/>
              </w:rPr>
              <w:t>1560,00 грн</w:t>
            </w:r>
          </w:p>
        </w:tc>
      </w:tr>
      <w:tr w:rsidR="00755313" w:rsidTr="00755313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13" w:rsidRPr="00755313" w:rsidRDefault="00755313" w:rsidP="0075531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6"/>
              </w:rPr>
            </w:pPr>
            <w:r w:rsidRPr="00755313">
              <w:rPr>
                <w:rFonts w:ascii="Times New Roman" w:eastAsia="Calibri" w:hAnsi="Times New Roman"/>
                <w:sz w:val="20"/>
                <w:szCs w:val="26"/>
              </w:rPr>
              <w:t>Разом за рік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13" w:rsidRPr="00755313" w:rsidRDefault="009F688A" w:rsidP="007553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  <w:r>
              <w:rPr>
                <w:rFonts w:ascii="Times New Roman" w:eastAsia="Calibri" w:hAnsi="Times New Roman"/>
                <w:sz w:val="20"/>
                <w:szCs w:val="26"/>
              </w:rPr>
              <w:t xml:space="preserve">1152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6"/>
              </w:rPr>
              <w:t>год</w:t>
            </w:r>
            <w:proofErr w:type="spellEnd"/>
          </w:p>
        </w:tc>
        <w:tc>
          <w:tcPr>
            <w:tcW w:w="1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13" w:rsidRPr="00755313" w:rsidRDefault="009F688A" w:rsidP="007553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  <w:r>
              <w:rPr>
                <w:rFonts w:ascii="Times New Roman" w:eastAsia="Calibri" w:hAnsi="Times New Roman"/>
                <w:sz w:val="20"/>
                <w:szCs w:val="26"/>
              </w:rPr>
              <w:t>37440,00 грн</w:t>
            </w:r>
          </w:p>
        </w:tc>
        <w:tc>
          <w:tcPr>
            <w:tcW w:w="1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13" w:rsidRPr="00755313" w:rsidRDefault="00755313" w:rsidP="007553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  <w:r w:rsidRPr="00755313">
              <w:rPr>
                <w:rFonts w:ascii="Times New Roman" w:eastAsia="Calibri" w:hAnsi="Times New Roman"/>
                <w:sz w:val="20"/>
                <w:szCs w:val="26"/>
              </w:rPr>
              <w:t>24</w:t>
            </w: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13" w:rsidRPr="00755313" w:rsidRDefault="00755313" w:rsidP="007553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13" w:rsidRPr="00755313" w:rsidRDefault="00755313" w:rsidP="007553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  <w:r w:rsidRPr="00755313">
              <w:rPr>
                <w:rFonts w:ascii="Times New Roman" w:eastAsia="Calibri" w:hAnsi="Times New Roman"/>
                <w:sz w:val="20"/>
                <w:szCs w:val="26"/>
              </w:rPr>
              <w:t>37440,00 грн</w:t>
            </w:r>
          </w:p>
        </w:tc>
      </w:tr>
      <w:tr w:rsidR="00755313" w:rsidTr="00755313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13" w:rsidRPr="00755313" w:rsidRDefault="00755313" w:rsidP="0075531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6"/>
              </w:rPr>
            </w:pPr>
            <w:r w:rsidRPr="00755313">
              <w:rPr>
                <w:rFonts w:ascii="Times New Roman" w:eastAsia="Calibri" w:hAnsi="Times New Roman"/>
                <w:sz w:val="20"/>
                <w:szCs w:val="26"/>
              </w:rPr>
              <w:t>Пальне А-95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13" w:rsidRPr="00755313" w:rsidRDefault="00755313" w:rsidP="007553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  <w:r w:rsidRPr="00755313">
              <w:rPr>
                <w:rFonts w:ascii="Times New Roman" w:eastAsia="Calibri" w:hAnsi="Times New Roman"/>
                <w:sz w:val="20"/>
                <w:szCs w:val="26"/>
              </w:rPr>
              <w:t>1088 км</w:t>
            </w:r>
          </w:p>
        </w:tc>
        <w:tc>
          <w:tcPr>
            <w:tcW w:w="1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13" w:rsidRPr="00755313" w:rsidRDefault="00755313" w:rsidP="007553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  <w:r w:rsidRPr="00755313">
              <w:rPr>
                <w:rFonts w:ascii="Times New Roman" w:eastAsia="Calibri" w:hAnsi="Times New Roman"/>
                <w:sz w:val="20"/>
                <w:szCs w:val="26"/>
              </w:rPr>
              <w:t>3,21 грн**</w:t>
            </w:r>
          </w:p>
        </w:tc>
        <w:tc>
          <w:tcPr>
            <w:tcW w:w="1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13" w:rsidRPr="00755313" w:rsidRDefault="00755313" w:rsidP="007553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  <w:r w:rsidRPr="00755313">
              <w:rPr>
                <w:rFonts w:ascii="Times New Roman" w:eastAsia="Calibri" w:hAnsi="Times New Roman"/>
                <w:sz w:val="20"/>
                <w:szCs w:val="26"/>
              </w:rPr>
              <w:t>1</w:t>
            </w: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13" w:rsidRPr="00755313" w:rsidRDefault="00755313" w:rsidP="007553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13" w:rsidRPr="00755313" w:rsidRDefault="00755313" w:rsidP="007553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  <w:r w:rsidRPr="00755313">
              <w:rPr>
                <w:rFonts w:ascii="Times New Roman" w:eastAsia="Calibri" w:hAnsi="Times New Roman"/>
                <w:sz w:val="20"/>
                <w:szCs w:val="26"/>
              </w:rPr>
              <w:t>3487,84 грн</w:t>
            </w:r>
          </w:p>
        </w:tc>
      </w:tr>
      <w:tr w:rsidR="00755313" w:rsidTr="00755313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13" w:rsidRPr="00755313" w:rsidRDefault="00755313" w:rsidP="0075531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6"/>
              </w:rPr>
            </w:pPr>
            <w:r w:rsidRPr="00755313">
              <w:rPr>
                <w:rFonts w:ascii="Times New Roman" w:eastAsia="Calibri" w:hAnsi="Times New Roman"/>
                <w:sz w:val="20"/>
                <w:szCs w:val="26"/>
              </w:rPr>
              <w:t>Разом за рік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13" w:rsidRPr="00755313" w:rsidRDefault="00755313" w:rsidP="007553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  <w:r w:rsidRPr="00755313">
              <w:rPr>
                <w:rFonts w:ascii="Times New Roman" w:eastAsia="Calibri" w:hAnsi="Times New Roman"/>
                <w:sz w:val="20"/>
                <w:szCs w:val="26"/>
              </w:rPr>
              <w:t>1088 км</w:t>
            </w:r>
          </w:p>
        </w:tc>
        <w:tc>
          <w:tcPr>
            <w:tcW w:w="1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13" w:rsidRPr="00755313" w:rsidRDefault="00755313" w:rsidP="007553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  <w:r w:rsidRPr="00755313">
              <w:rPr>
                <w:rFonts w:ascii="Times New Roman" w:eastAsia="Calibri" w:hAnsi="Times New Roman"/>
                <w:sz w:val="20"/>
                <w:szCs w:val="26"/>
              </w:rPr>
              <w:t>3,21 грн</w:t>
            </w:r>
          </w:p>
        </w:tc>
        <w:tc>
          <w:tcPr>
            <w:tcW w:w="1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13" w:rsidRPr="00755313" w:rsidRDefault="00755313" w:rsidP="007553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  <w:r w:rsidRPr="00755313">
              <w:rPr>
                <w:rFonts w:ascii="Times New Roman" w:eastAsia="Calibri" w:hAnsi="Times New Roman"/>
                <w:sz w:val="20"/>
                <w:szCs w:val="26"/>
              </w:rPr>
              <w:t>24</w:t>
            </w: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13" w:rsidRPr="00755313" w:rsidRDefault="00755313" w:rsidP="007553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13" w:rsidRPr="00755313" w:rsidRDefault="00755313" w:rsidP="007553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  <w:r w:rsidRPr="00755313">
              <w:rPr>
                <w:rFonts w:ascii="Times New Roman" w:eastAsia="Calibri" w:hAnsi="Times New Roman"/>
                <w:sz w:val="20"/>
                <w:szCs w:val="26"/>
              </w:rPr>
              <w:t xml:space="preserve"> 83708,16 грн</w:t>
            </w:r>
          </w:p>
        </w:tc>
      </w:tr>
      <w:tr w:rsidR="00755313" w:rsidTr="00755313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13" w:rsidRPr="00755313" w:rsidRDefault="00755313" w:rsidP="0075531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6"/>
              </w:rPr>
            </w:pPr>
            <w:r w:rsidRPr="00755313">
              <w:rPr>
                <w:rFonts w:ascii="Times New Roman" w:eastAsia="Calibri" w:hAnsi="Times New Roman"/>
                <w:sz w:val="20"/>
                <w:szCs w:val="26"/>
              </w:rPr>
              <w:t>Сумарно за п’ять років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13" w:rsidRPr="00755313" w:rsidRDefault="00755313" w:rsidP="007553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  <w:tc>
          <w:tcPr>
            <w:tcW w:w="1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13" w:rsidRPr="00755313" w:rsidRDefault="00755313" w:rsidP="007553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  <w:tc>
          <w:tcPr>
            <w:tcW w:w="1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13" w:rsidRPr="00755313" w:rsidRDefault="00755313" w:rsidP="007553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13" w:rsidRPr="00755313" w:rsidRDefault="00755313" w:rsidP="007553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13" w:rsidRPr="00755313" w:rsidRDefault="00755313" w:rsidP="007553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6"/>
              </w:rPr>
            </w:pPr>
          </w:p>
        </w:tc>
      </w:tr>
    </w:tbl>
    <w:p w:rsidR="00F9546D" w:rsidRDefault="00F9546D">
      <w:pPr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</w:p>
    <w:p w:rsidR="00D93489" w:rsidRDefault="00512761" w:rsidP="00D93489">
      <w:pPr>
        <w:ind w:left="284" w:hanging="284"/>
        <w:contextualSpacing/>
        <w:jc w:val="both"/>
        <w:rPr>
          <w:szCs w:val="28"/>
        </w:rPr>
      </w:pPr>
      <w:r w:rsidRPr="00512761">
        <w:rPr>
          <w:rFonts w:ascii="Times New Roman" w:hAnsi="Times New Roman"/>
          <w:sz w:val="20"/>
          <w:szCs w:val="26"/>
        </w:rPr>
        <w:t xml:space="preserve">* </w:t>
      </w:r>
      <w:r w:rsidR="00D93489" w:rsidRPr="00D93489">
        <w:rPr>
          <w:rFonts w:ascii="Times New Roman" w:eastAsia="Calibri" w:hAnsi="Times New Roman"/>
          <w:sz w:val="20"/>
          <w:szCs w:val="20"/>
        </w:rPr>
        <w:t xml:space="preserve">вартість часу одного працівника регіонального сервісного центру МВС </w:t>
      </w:r>
      <w:r w:rsidR="006B1213">
        <w:rPr>
          <w:rFonts w:ascii="Times New Roman" w:hAnsi="Times New Roman"/>
          <w:sz w:val="20"/>
          <w:szCs w:val="20"/>
        </w:rPr>
        <w:t>обчислюється</w:t>
      </w:r>
      <w:r w:rsidR="006B6AB8">
        <w:rPr>
          <w:rFonts w:ascii="Times New Roman" w:hAnsi="Times New Roman"/>
          <w:sz w:val="20"/>
          <w:szCs w:val="20"/>
        </w:rPr>
        <w:t>,</w:t>
      </w:r>
      <w:r w:rsidR="006B1213">
        <w:rPr>
          <w:rFonts w:ascii="Times New Roman" w:hAnsi="Times New Roman"/>
          <w:sz w:val="20"/>
          <w:szCs w:val="20"/>
        </w:rPr>
        <w:t xml:space="preserve"> </w:t>
      </w:r>
      <w:r w:rsidR="006B1213" w:rsidRPr="00D93489">
        <w:rPr>
          <w:rFonts w:ascii="Times New Roman" w:eastAsia="Calibri" w:hAnsi="Times New Roman"/>
          <w:sz w:val="20"/>
          <w:szCs w:val="20"/>
        </w:rPr>
        <w:t xml:space="preserve">виходячи </w:t>
      </w:r>
      <w:r w:rsidR="006B6AB8">
        <w:rPr>
          <w:rFonts w:ascii="Times New Roman" w:eastAsia="Calibri" w:hAnsi="Times New Roman"/>
          <w:sz w:val="20"/>
          <w:szCs w:val="20"/>
        </w:rPr>
        <w:t>і</w:t>
      </w:r>
      <w:r w:rsidR="006B1213" w:rsidRPr="00D93489">
        <w:rPr>
          <w:rFonts w:ascii="Times New Roman" w:eastAsia="Calibri" w:hAnsi="Times New Roman"/>
          <w:sz w:val="20"/>
          <w:szCs w:val="20"/>
        </w:rPr>
        <w:t>з суми коштів на відрядження</w:t>
      </w:r>
      <w:r w:rsidR="006B1213">
        <w:rPr>
          <w:rFonts w:ascii="Times New Roman" w:hAnsi="Times New Roman"/>
          <w:sz w:val="20"/>
          <w:szCs w:val="20"/>
        </w:rPr>
        <w:t xml:space="preserve"> </w:t>
      </w:r>
      <w:r w:rsidR="006B6AB8" w:rsidRPr="00512761">
        <w:rPr>
          <w:rFonts w:ascii="Times New Roman" w:hAnsi="Times New Roman"/>
          <w:sz w:val="20"/>
          <w:szCs w:val="26"/>
        </w:rPr>
        <w:t>–</w:t>
      </w:r>
      <w:r w:rsidR="006B6AB8">
        <w:rPr>
          <w:rFonts w:ascii="Times New Roman" w:hAnsi="Times New Roman"/>
          <w:sz w:val="20"/>
          <w:szCs w:val="20"/>
        </w:rPr>
        <w:t xml:space="preserve"> </w:t>
      </w:r>
      <w:r w:rsidR="00D93489" w:rsidRPr="00D93489">
        <w:rPr>
          <w:rFonts w:ascii="Times New Roman" w:hAnsi="Times New Roman"/>
          <w:sz w:val="20"/>
          <w:szCs w:val="20"/>
        </w:rPr>
        <w:t>780,00</w:t>
      </w:r>
      <w:r w:rsidR="006B1213">
        <w:rPr>
          <w:rFonts w:ascii="Times New Roman" w:hAnsi="Times New Roman"/>
          <w:sz w:val="20"/>
          <w:szCs w:val="20"/>
        </w:rPr>
        <w:t xml:space="preserve"> грн</w:t>
      </w:r>
      <w:r w:rsidR="00D93489" w:rsidRPr="00D93489">
        <w:rPr>
          <w:rFonts w:ascii="Times New Roman" w:eastAsia="Calibri" w:hAnsi="Times New Roman"/>
          <w:sz w:val="20"/>
          <w:szCs w:val="20"/>
        </w:rPr>
        <w:t xml:space="preserve">, які складаються із суми добових 60,00 грн та сум відшкодування витрат за найм житла </w:t>
      </w:r>
      <w:r w:rsidR="006B6AB8" w:rsidRPr="00512761">
        <w:rPr>
          <w:rFonts w:ascii="Times New Roman" w:hAnsi="Times New Roman"/>
          <w:sz w:val="20"/>
          <w:szCs w:val="26"/>
        </w:rPr>
        <w:t>–</w:t>
      </w:r>
      <w:r w:rsidR="006B6AB8">
        <w:rPr>
          <w:rFonts w:ascii="Times New Roman" w:hAnsi="Times New Roman"/>
          <w:sz w:val="20"/>
          <w:szCs w:val="26"/>
        </w:rPr>
        <w:t xml:space="preserve"> </w:t>
      </w:r>
      <w:r w:rsidR="00D93489" w:rsidRPr="00D93489">
        <w:rPr>
          <w:rFonts w:ascii="Times New Roman" w:eastAsia="Calibri" w:hAnsi="Times New Roman"/>
          <w:sz w:val="20"/>
          <w:szCs w:val="20"/>
        </w:rPr>
        <w:t>720,00 грн на добу:</w:t>
      </w:r>
    </w:p>
    <w:p w:rsidR="00512761" w:rsidRPr="00512761" w:rsidRDefault="00512761" w:rsidP="009F688A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lastRenderedPageBreak/>
        <w:t>780,00 гривень/24 години = 32,50 гривень</w:t>
      </w:r>
      <w:r w:rsidRPr="00512761">
        <w:rPr>
          <w:rFonts w:ascii="Times New Roman" w:hAnsi="Times New Roman"/>
          <w:sz w:val="20"/>
          <w:szCs w:val="26"/>
        </w:rPr>
        <w:t xml:space="preserve"> – вартість часу одного працівника регіонального сервісного центру МВС за годину;</w:t>
      </w:r>
    </w:p>
    <w:p w:rsidR="00512761" w:rsidRPr="00512761" w:rsidRDefault="00512761" w:rsidP="0051276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6"/>
        </w:rPr>
      </w:pPr>
    </w:p>
    <w:p w:rsidR="00512761" w:rsidRPr="00512761" w:rsidRDefault="00512761" w:rsidP="0051276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6"/>
        </w:rPr>
      </w:pPr>
      <w:r w:rsidRPr="00512761">
        <w:rPr>
          <w:rFonts w:ascii="Times New Roman" w:hAnsi="Times New Roman"/>
          <w:sz w:val="20"/>
          <w:szCs w:val="26"/>
        </w:rPr>
        <w:t>** вартість одного кілометра пробігу автомобіля обчислюється</w:t>
      </w:r>
      <w:r w:rsidR="006B6AB8">
        <w:rPr>
          <w:rFonts w:ascii="Times New Roman" w:hAnsi="Times New Roman"/>
          <w:sz w:val="20"/>
          <w:szCs w:val="26"/>
        </w:rPr>
        <w:t>,</w:t>
      </w:r>
      <w:r w:rsidRPr="00512761">
        <w:rPr>
          <w:rFonts w:ascii="Times New Roman" w:hAnsi="Times New Roman"/>
          <w:sz w:val="20"/>
          <w:szCs w:val="26"/>
        </w:rPr>
        <w:t xml:space="preserve"> виходячи із середнього споживання пал</w:t>
      </w:r>
      <w:r w:rsidR="0025211B">
        <w:rPr>
          <w:rFonts w:ascii="Times New Roman" w:hAnsi="Times New Roman"/>
          <w:sz w:val="20"/>
          <w:szCs w:val="26"/>
        </w:rPr>
        <w:t>ьного</w:t>
      </w:r>
      <w:r w:rsidRPr="00512761">
        <w:rPr>
          <w:rFonts w:ascii="Times New Roman" w:hAnsi="Times New Roman"/>
          <w:sz w:val="20"/>
          <w:szCs w:val="26"/>
        </w:rPr>
        <w:t xml:space="preserve"> автомобілями </w:t>
      </w:r>
      <w:proofErr w:type="spellStart"/>
      <w:r w:rsidRPr="009F688A">
        <w:rPr>
          <w:rFonts w:ascii="Times New Roman" w:hAnsi="Times New Roman"/>
          <w:sz w:val="20"/>
          <w:szCs w:val="26"/>
        </w:rPr>
        <w:t>Volkswagen</w:t>
      </w:r>
      <w:proofErr w:type="spellEnd"/>
      <w:r w:rsidRPr="00512761">
        <w:rPr>
          <w:rFonts w:ascii="Times New Roman" w:hAnsi="Times New Roman"/>
          <w:sz w:val="20"/>
          <w:szCs w:val="26"/>
        </w:rPr>
        <w:t xml:space="preserve"> </w:t>
      </w:r>
      <w:proofErr w:type="spellStart"/>
      <w:r w:rsidRPr="009F688A">
        <w:rPr>
          <w:rFonts w:ascii="Times New Roman" w:hAnsi="Times New Roman"/>
          <w:sz w:val="20"/>
          <w:szCs w:val="26"/>
        </w:rPr>
        <w:t>Passat</w:t>
      </w:r>
      <w:proofErr w:type="spellEnd"/>
      <w:r>
        <w:rPr>
          <w:rFonts w:ascii="Times New Roman" w:hAnsi="Times New Roman"/>
          <w:sz w:val="20"/>
          <w:szCs w:val="26"/>
        </w:rPr>
        <w:t xml:space="preserve">, </w:t>
      </w:r>
      <w:r w:rsidRPr="009F688A">
        <w:rPr>
          <w:rFonts w:ascii="Times New Roman" w:hAnsi="Times New Roman"/>
          <w:sz w:val="20"/>
          <w:szCs w:val="26"/>
        </w:rPr>
        <w:t>Volkswagen</w:t>
      </w:r>
      <w:r w:rsidRPr="00512761">
        <w:rPr>
          <w:rFonts w:ascii="Times New Roman" w:hAnsi="Times New Roman"/>
          <w:sz w:val="20"/>
          <w:szCs w:val="26"/>
        </w:rPr>
        <w:t xml:space="preserve"> </w:t>
      </w:r>
      <w:r w:rsidRPr="009F688A">
        <w:rPr>
          <w:rFonts w:ascii="Times New Roman" w:hAnsi="Times New Roman"/>
          <w:sz w:val="20"/>
          <w:szCs w:val="26"/>
        </w:rPr>
        <w:t>Bora</w:t>
      </w:r>
      <w:r>
        <w:rPr>
          <w:rFonts w:ascii="Times New Roman" w:hAnsi="Times New Roman"/>
          <w:sz w:val="20"/>
          <w:szCs w:val="26"/>
        </w:rPr>
        <w:t xml:space="preserve">, </w:t>
      </w:r>
      <w:r w:rsidRPr="009F688A">
        <w:rPr>
          <w:rFonts w:ascii="Times New Roman" w:hAnsi="Times New Roman"/>
          <w:sz w:val="20"/>
          <w:szCs w:val="26"/>
        </w:rPr>
        <w:t>Skoda</w:t>
      </w:r>
      <w:r w:rsidRPr="00512761">
        <w:rPr>
          <w:rFonts w:ascii="Times New Roman" w:hAnsi="Times New Roman"/>
          <w:sz w:val="20"/>
          <w:szCs w:val="26"/>
        </w:rPr>
        <w:t xml:space="preserve"> </w:t>
      </w:r>
      <w:r w:rsidRPr="009F688A">
        <w:rPr>
          <w:rFonts w:ascii="Times New Roman" w:hAnsi="Times New Roman"/>
          <w:sz w:val="20"/>
          <w:szCs w:val="26"/>
        </w:rPr>
        <w:t>Octavia</w:t>
      </w:r>
      <w:r>
        <w:rPr>
          <w:rFonts w:ascii="Times New Roman" w:hAnsi="Times New Roman"/>
          <w:sz w:val="20"/>
          <w:szCs w:val="26"/>
        </w:rPr>
        <w:t xml:space="preserve">, </w:t>
      </w:r>
      <w:r w:rsidRPr="009F688A">
        <w:rPr>
          <w:rFonts w:ascii="Times New Roman" w:hAnsi="Times New Roman"/>
          <w:sz w:val="20"/>
          <w:szCs w:val="26"/>
        </w:rPr>
        <w:t>Toyota</w:t>
      </w:r>
      <w:r w:rsidRPr="00512761">
        <w:rPr>
          <w:rFonts w:ascii="Times New Roman" w:hAnsi="Times New Roman"/>
          <w:sz w:val="20"/>
          <w:szCs w:val="26"/>
        </w:rPr>
        <w:t xml:space="preserve"> </w:t>
      </w:r>
      <w:r w:rsidRPr="009F688A">
        <w:rPr>
          <w:rFonts w:ascii="Times New Roman" w:hAnsi="Times New Roman"/>
          <w:sz w:val="20"/>
          <w:szCs w:val="26"/>
        </w:rPr>
        <w:t>Camry</w:t>
      </w:r>
      <w:r>
        <w:rPr>
          <w:rFonts w:ascii="Times New Roman" w:hAnsi="Times New Roman"/>
          <w:sz w:val="20"/>
          <w:szCs w:val="26"/>
        </w:rPr>
        <w:t xml:space="preserve">, </w:t>
      </w:r>
      <w:r w:rsidRPr="009F688A">
        <w:rPr>
          <w:rFonts w:ascii="Times New Roman" w:hAnsi="Times New Roman"/>
          <w:sz w:val="20"/>
          <w:szCs w:val="26"/>
        </w:rPr>
        <w:t>Opel</w:t>
      </w:r>
      <w:r w:rsidRPr="00512761">
        <w:rPr>
          <w:rFonts w:ascii="Times New Roman" w:hAnsi="Times New Roman"/>
          <w:sz w:val="20"/>
          <w:szCs w:val="26"/>
        </w:rPr>
        <w:t xml:space="preserve"> </w:t>
      </w:r>
      <w:r w:rsidRPr="009F688A">
        <w:rPr>
          <w:rFonts w:ascii="Times New Roman" w:hAnsi="Times New Roman"/>
          <w:sz w:val="20"/>
          <w:szCs w:val="26"/>
        </w:rPr>
        <w:t>Vectra</w:t>
      </w:r>
      <w:r w:rsidRPr="00512761">
        <w:rPr>
          <w:rFonts w:ascii="Times New Roman" w:hAnsi="Times New Roman"/>
          <w:sz w:val="20"/>
          <w:szCs w:val="26"/>
        </w:rPr>
        <w:t xml:space="preserve"> та мікроавтобуса </w:t>
      </w:r>
      <w:r w:rsidRPr="009F688A">
        <w:rPr>
          <w:rFonts w:ascii="Times New Roman" w:hAnsi="Times New Roman"/>
          <w:sz w:val="20"/>
          <w:szCs w:val="26"/>
        </w:rPr>
        <w:t>Volkswagen</w:t>
      </w:r>
      <w:r w:rsidRPr="00512761">
        <w:rPr>
          <w:rFonts w:ascii="Times New Roman" w:hAnsi="Times New Roman"/>
          <w:sz w:val="20"/>
          <w:szCs w:val="26"/>
        </w:rPr>
        <w:t xml:space="preserve"> </w:t>
      </w:r>
      <w:r w:rsidRPr="009F688A">
        <w:rPr>
          <w:rFonts w:ascii="Times New Roman" w:hAnsi="Times New Roman"/>
          <w:sz w:val="20"/>
          <w:szCs w:val="26"/>
        </w:rPr>
        <w:t>Transporter</w:t>
      </w:r>
      <w:r w:rsidRPr="00512761">
        <w:rPr>
          <w:rFonts w:ascii="Times New Roman" w:hAnsi="Times New Roman"/>
          <w:sz w:val="20"/>
          <w:szCs w:val="26"/>
        </w:rPr>
        <w:t>, що складає 11,1 л</w:t>
      </w:r>
      <w:r>
        <w:rPr>
          <w:rFonts w:ascii="Times New Roman" w:hAnsi="Times New Roman"/>
          <w:sz w:val="20"/>
          <w:szCs w:val="26"/>
        </w:rPr>
        <w:t>ітр</w:t>
      </w:r>
      <w:r w:rsidR="006B6AB8">
        <w:rPr>
          <w:rFonts w:ascii="Times New Roman" w:hAnsi="Times New Roman"/>
          <w:sz w:val="20"/>
          <w:szCs w:val="26"/>
        </w:rPr>
        <w:t>а</w:t>
      </w:r>
      <w:r>
        <w:rPr>
          <w:rFonts w:ascii="Times New Roman" w:hAnsi="Times New Roman"/>
          <w:sz w:val="20"/>
          <w:szCs w:val="26"/>
        </w:rPr>
        <w:t xml:space="preserve"> на 100 кілометрів</w:t>
      </w:r>
      <w:r w:rsidRPr="00512761">
        <w:rPr>
          <w:rFonts w:ascii="Times New Roman" w:hAnsi="Times New Roman"/>
          <w:sz w:val="20"/>
          <w:szCs w:val="26"/>
        </w:rPr>
        <w:t xml:space="preserve"> пробігу, та вартості пального в </w:t>
      </w:r>
      <w:proofErr w:type="spellStart"/>
      <w:r w:rsidRPr="00512761">
        <w:rPr>
          <w:rFonts w:ascii="Times New Roman" w:hAnsi="Times New Roman"/>
          <w:sz w:val="20"/>
          <w:szCs w:val="26"/>
        </w:rPr>
        <w:t>су</w:t>
      </w:r>
      <w:proofErr w:type="spellEnd"/>
      <w:r w:rsidRPr="00512761">
        <w:rPr>
          <w:rFonts w:ascii="Times New Roman" w:hAnsi="Times New Roman"/>
          <w:sz w:val="20"/>
          <w:szCs w:val="26"/>
        </w:rPr>
        <w:t>мі 28,8</w:t>
      </w:r>
      <w:r w:rsidR="0025211B">
        <w:rPr>
          <w:rFonts w:ascii="Times New Roman" w:hAnsi="Times New Roman"/>
          <w:sz w:val="20"/>
          <w:szCs w:val="26"/>
        </w:rPr>
        <w:t xml:space="preserve">8 грн </w:t>
      </w:r>
      <w:r w:rsidRPr="00512761">
        <w:rPr>
          <w:rFonts w:ascii="Times New Roman" w:hAnsi="Times New Roman"/>
          <w:sz w:val="20"/>
          <w:szCs w:val="26"/>
        </w:rPr>
        <w:t xml:space="preserve">за літр пального: </w:t>
      </w:r>
    </w:p>
    <w:p w:rsidR="00512761" w:rsidRPr="00512761" w:rsidRDefault="00512761" w:rsidP="009F688A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11,1 літр</w:t>
      </w:r>
      <w:r w:rsidR="006B6AB8">
        <w:rPr>
          <w:rFonts w:ascii="Times New Roman" w:hAnsi="Times New Roman"/>
          <w:sz w:val="20"/>
          <w:szCs w:val="26"/>
        </w:rPr>
        <w:t>а</w:t>
      </w:r>
      <w:r w:rsidR="0025211B">
        <w:rPr>
          <w:rFonts w:ascii="Times New Roman" w:hAnsi="Times New Roman"/>
          <w:sz w:val="20"/>
          <w:szCs w:val="26"/>
        </w:rPr>
        <w:t>/100 кілометрів*28,88 </w:t>
      </w:r>
      <w:proofErr w:type="spellStart"/>
      <w:r w:rsidR="0025211B">
        <w:rPr>
          <w:rFonts w:ascii="Times New Roman" w:hAnsi="Times New Roman"/>
          <w:sz w:val="20"/>
          <w:szCs w:val="26"/>
        </w:rPr>
        <w:t>грн</w:t>
      </w:r>
      <w:proofErr w:type="spellEnd"/>
      <w:r w:rsidR="0025211B">
        <w:rPr>
          <w:rFonts w:ascii="Times New Roman" w:hAnsi="Times New Roman"/>
          <w:sz w:val="20"/>
          <w:szCs w:val="26"/>
        </w:rPr>
        <w:t xml:space="preserve"> = 3,21 </w:t>
      </w:r>
      <w:proofErr w:type="spellStart"/>
      <w:r w:rsidR="0025211B">
        <w:rPr>
          <w:rFonts w:ascii="Times New Roman" w:hAnsi="Times New Roman"/>
          <w:sz w:val="20"/>
          <w:szCs w:val="26"/>
        </w:rPr>
        <w:t>грн</w:t>
      </w:r>
      <w:bookmarkStart w:id="0" w:name="_GoBack"/>
      <w:bookmarkEnd w:id="0"/>
      <w:proofErr w:type="spellEnd"/>
      <w:r w:rsidRPr="00512761">
        <w:rPr>
          <w:rFonts w:ascii="Times New Roman" w:hAnsi="Times New Roman"/>
          <w:sz w:val="20"/>
          <w:szCs w:val="26"/>
        </w:rPr>
        <w:t xml:space="preserve"> вартість одного км пробігу.</w:t>
      </w:r>
    </w:p>
    <w:p w:rsidR="00F9546D" w:rsidRDefault="00F9546D" w:rsidP="00512761">
      <w:p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26"/>
        </w:rPr>
      </w:pPr>
    </w:p>
    <w:sectPr w:rsidR="00F9546D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3EC" w:rsidRDefault="00B303EC">
      <w:r>
        <w:separator/>
      </w:r>
    </w:p>
  </w:endnote>
  <w:endnote w:type="continuationSeparator" w:id="0">
    <w:p w:rsidR="00B303EC" w:rsidRDefault="00B3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3EC" w:rsidRDefault="00B303EC">
      <w:r>
        <w:separator/>
      </w:r>
    </w:p>
  </w:footnote>
  <w:footnote w:type="continuationSeparator" w:id="0">
    <w:p w:rsidR="00B303EC" w:rsidRDefault="00B30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6D" w:rsidRDefault="0042604A">
    <w:pPr>
      <w:pStyle w:val="a3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 w:rsidR="00915C0A">
      <w:rPr>
        <w:rFonts w:ascii="Times New Roman" w:hAnsi="Times New Roman"/>
        <w:noProof/>
        <w:sz w:val="24"/>
      </w:rPr>
      <w:t>2</w:t>
    </w:r>
    <w:r>
      <w:rPr>
        <w:rFonts w:ascii="Times New Roman" w:hAnsi="Times New Roman"/>
        <w:sz w:val="24"/>
      </w:rPr>
      <w:fldChar w:fldCharType="end"/>
    </w:r>
  </w:p>
  <w:p w:rsidR="00F9546D" w:rsidRDefault="00F954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BD4"/>
    <w:multiLevelType w:val="hybridMultilevel"/>
    <w:tmpl w:val="B1E8858A"/>
    <w:lvl w:ilvl="0" w:tplc="D6726CA6">
      <w:start w:val="3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D52AA6"/>
    <w:multiLevelType w:val="hybridMultilevel"/>
    <w:tmpl w:val="8DAA37E2"/>
    <w:lvl w:ilvl="0" w:tplc="648E3B2E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D0C9C"/>
    <w:multiLevelType w:val="hybridMultilevel"/>
    <w:tmpl w:val="E1DE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949AF"/>
    <w:multiLevelType w:val="hybridMultilevel"/>
    <w:tmpl w:val="C848F5CE"/>
    <w:lvl w:ilvl="0" w:tplc="04190001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C4F98"/>
    <w:multiLevelType w:val="hybridMultilevel"/>
    <w:tmpl w:val="31E0ED14"/>
    <w:lvl w:ilvl="0" w:tplc="04190001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F4AAB"/>
    <w:multiLevelType w:val="hybridMultilevel"/>
    <w:tmpl w:val="446E9000"/>
    <w:lvl w:ilvl="0" w:tplc="DF3CA304">
      <w:start w:val="2"/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4A"/>
    <w:rsid w:val="0025211B"/>
    <w:rsid w:val="00422064"/>
    <w:rsid w:val="0042604A"/>
    <w:rsid w:val="00512761"/>
    <w:rsid w:val="006B1213"/>
    <w:rsid w:val="006B6AB8"/>
    <w:rsid w:val="00755313"/>
    <w:rsid w:val="00915C0A"/>
    <w:rsid w:val="009F688A"/>
    <w:rsid w:val="00B303EC"/>
    <w:rsid w:val="00B47ED4"/>
    <w:rsid w:val="00D93489"/>
    <w:rsid w:val="00F2316F"/>
    <w:rsid w:val="00F9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numPr>
        <w:numId w:val="5"/>
      </w:numPr>
      <w:spacing w:after="120" w:line="240" w:lineRule="auto"/>
      <w:jc w:val="center"/>
      <w:outlineLvl w:val="0"/>
    </w:pPr>
    <w:rPr>
      <w:rFonts w:ascii="Times New Roman" w:hAnsi="Times New Roman"/>
      <w:b/>
      <w:sz w:val="28"/>
      <w:szCs w:val="26"/>
    </w:rPr>
  </w:style>
  <w:style w:type="paragraph" w:styleId="2">
    <w:name w:val="heading 2"/>
    <w:basedOn w:val="a"/>
    <w:next w:val="a"/>
    <w:qFormat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color w:val="000000"/>
      <w:sz w:val="28"/>
      <w:szCs w:val="26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pPr>
      <w:ind w:left="720"/>
      <w:contextualSpacing/>
    </w:pPr>
  </w:style>
  <w:style w:type="paragraph" w:styleId="a3">
    <w:name w:val="header"/>
    <w:basedOn w:val="a"/>
    <w:semiHidden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ocked/>
    <w:rPr>
      <w:rFonts w:ascii="Calibri" w:hAnsi="Calibri"/>
      <w:sz w:val="22"/>
      <w:szCs w:val="22"/>
      <w:lang w:val="uk-UA" w:eastAsia="en-US" w:bidi="ar-SA"/>
    </w:rPr>
  </w:style>
  <w:style w:type="character" w:styleId="a5">
    <w:name w:val="Hyperlink"/>
    <w:semiHidden/>
    <w:rPr>
      <w:rFonts w:cs="Times New Roman"/>
      <w:color w:val="0000FF"/>
      <w:u w:val="single"/>
    </w:rPr>
  </w:style>
  <w:style w:type="paragraph" w:customStyle="1" w:styleId="xfmc1">
    <w:name w:val="xfmc1"/>
    <w:basedOn w:val="a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6">
    <w:name w:val="Назва документа"/>
    <w:basedOn w:val="a"/>
    <w:next w:val="a"/>
    <w:pPr>
      <w:keepNext/>
      <w:keepLines/>
      <w:spacing w:before="360" w:after="360" w:line="240" w:lineRule="auto"/>
      <w:jc w:val="center"/>
    </w:pPr>
    <w:rPr>
      <w:rFonts w:ascii="Antiqua" w:hAnsi="Antiqua" w:cs="Antiqua"/>
      <w:b/>
      <w:bCs/>
      <w:sz w:val="26"/>
      <w:szCs w:val="26"/>
      <w:lang w:eastAsia="ru-RU"/>
    </w:rPr>
  </w:style>
  <w:style w:type="paragraph" w:styleId="a7">
    <w:name w:val="Body Text Indent"/>
    <w:basedOn w:val="a"/>
    <w:semiHidden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rvts23">
    <w:name w:val="rvts23"/>
  </w:style>
  <w:style w:type="character" w:customStyle="1" w:styleId="hps">
    <w:name w:val="hps"/>
    <w:basedOn w:val="a0"/>
  </w:style>
  <w:style w:type="character" w:customStyle="1" w:styleId="a8">
    <w:name w:val="Основной текст с отступом Знак"/>
    <w:rPr>
      <w:sz w:val="28"/>
      <w:szCs w:val="28"/>
      <w:lang w:val="uk-UA" w:eastAsia="ru-RU" w:bidi="ar-SA"/>
    </w:rPr>
  </w:style>
  <w:style w:type="paragraph" w:styleId="a9">
    <w:name w:val="Title"/>
    <w:basedOn w:val="a"/>
    <w:qFormat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uk-UA"/>
    </w:rPr>
  </w:style>
  <w:style w:type="paragraph" w:customStyle="1" w:styleId="aa">
    <w:name w:val="Нормальний текст"/>
    <w:basedOn w:val="a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rvts15">
    <w:name w:val="rvts15"/>
    <w:basedOn w:val="a0"/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paragraph" w:customStyle="1" w:styleId="rvps12">
    <w:name w:val="rvps1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14">
    <w:name w:val="rvps1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82">
    <w:name w:val="rvts8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46">
    <w:name w:val="rvts46"/>
    <w:basedOn w:val="a0"/>
  </w:style>
  <w:style w:type="paragraph" w:styleId="3">
    <w:name w:val="Body Text Indent 3"/>
    <w:basedOn w:val="a"/>
    <w:semiHidden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paragraph" w:styleId="ab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rFonts w:ascii="Calibri" w:hAnsi="Calibri"/>
      <w:sz w:val="22"/>
      <w:szCs w:val="22"/>
      <w:lang w:val="uk-UA" w:eastAsia="en-US"/>
    </w:rPr>
  </w:style>
  <w:style w:type="paragraph" w:styleId="HTML">
    <w:name w:val="HTML Preformatted"/>
    <w:basedOn w:val="a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rPr>
      <w:rFonts w:ascii="Courier New" w:hAnsi="Courier New" w:cs="Courier New"/>
    </w:rPr>
  </w:style>
  <w:style w:type="paragraph" w:customStyle="1" w:styleId="11">
    <w:name w:val="Текст выноски1"/>
    <w:basedOn w:val="a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semiHidden/>
    <w:rPr>
      <w:rFonts w:ascii="Tahoma" w:hAnsi="Tahoma" w:cs="Tahoma"/>
      <w:sz w:val="16"/>
      <w:szCs w:val="16"/>
      <w:lang w:val="uk-UA" w:eastAsia="en-US"/>
    </w:rPr>
  </w:style>
  <w:style w:type="paragraph" w:styleId="20">
    <w:name w:val="Body Text Indent 2"/>
    <w:basedOn w:val="a"/>
    <w:semiHidden/>
    <w:pPr>
      <w:shd w:val="clear" w:color="auto" w:fill="FF000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e">
    <w:name w:val="Balloon Text"/>
    <w:basedOn w:val="a"/>
    <w:link w:val="12"/>
    <w:uiPriority w:val="99"/>
    <w:semiHidden/>
    <w:unhideWhenUsed/>
    <w:rsid w:val="006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e"/>
    <w:uiPriority w:val="99"/>
    <w:semiHidden/>
    <w:rsid w:val="006B121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numPr>
        <w:numId w:val="5"/>
      </w:numPr>
      <w:spacing w:after="120" w:line="240" w:lineRule="auto"/>
      <w:jc w:val="center"/>
      <w:outlineLvl w:val="0"/>
    </w:pPr>
    <w:rPr>
      <w:rFonts w:ascii="Times New Roman" w:hAnsi="Times New Roman"/>
      <w:b/>
      <w:sz w:val="28"/>
      <w:szCs w:val="26"/>
    </w:rPr>
  </w:style>
  <w:style w:type="paragraph" w:styleId="2">
    <w:name w:val="heading 2"/>
    <w:basedOn w:val="a"/>
    <w:next w:val="a"/>
    <w:qFormat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color w:val="000000"/>
      <w:sz w:val="28"/>
      <w:szCs w:val="26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pPr>
      <w:ind w:left="720"/>
      <w:contextualSpacing/>
    </w:pPr>
  </w:style>
  <w:style w:type="paragraph" w:styleId="a3">
    <w:name w:val="header"/>
    <w:basedOn w:val="a"/>
    <w:semiHidden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ocked/>
    <w:rPr>
      <w:rFonts w:ascii="Calibri" w:hAnsi="Calibri"/>
      <w:sz w:val="22"/>
      <w:szCs w:val="22"/>
      <w:lang w:val="uk-UA" w:eastAsia="en-US" w:bidi="ar-SA"/>
    </w:rPr>
  </w:style>
  <w:style w:type="character" w:styleId="a5">
    <w:name w:val="Hyperlink"/>
    <w:semiHidden/>
    <w:rPr>
      <w:rFonts w:cs="Times New Roman"/>
      <w:color w:val="0000FF"/>
      <w:u w:val="single"/>
    </w:rPr>
  </w:style>
  <w:style w:type="paragraph" w:customStyle="1" w:styleId="xfmc1">
    <w:name w:val="xfmc1"/>
    <w:basedOn w:val="a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6">
    <w:name w:val="Назва документа"/>
    <w:basedOn w:val="a"/>
    <w:next w:val="a"/>
    <w:pPr>
      <w:keepNext/>
      <w:keepLines/>
      <w:spacing w:before="360" w:after="360" w:line="240" w:lineRule="auto"/>
      <w:jc w:val="center"/>
    </w:pPr>
    <w:rPr>
      <w:rFonts w:ascii="Antiqua" w:hAnsi="Antiqua" w:cs="Antiqua"/>
      <w:b/>
      <w:bCs/>
      <w:sz w:val="26"/>
      <w:szCs w:val="26"/>
      <w:lang w:eastAsia="ru-RU"/>
    </w:rPr>
  </w:style>
  <w:style w:type="paragraph" w:styleId="a7">
    <w:name w:val="Body Text Indent"/>
    <w:basedOn w:val="a"/>
    <w:semiHidden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rvts23">
    <w:name w:val="rvts23"/>
  </w:style>
  <w:style w:type="character" w:customStyle="1" w:styleId="hps">
    <w:name w:val="hps"/>
    <w:basedOn w:val="a0"/>
  </w:style>
  <w:style w:type="character" w:customStyle="1" w:styleId="a8">
    <w:name w:val="Основной текст с отступом Знак"/>
    <w:rPr>
      <w:sz w:val="28"/>
      <w:szCs w:val="28"/>
      <w:lang w:val="uk-UA" w:eastAsia="ru-RU" w:bidi="ar-SA"/>
    </w:rPr>
  </w:style>
  <w:style w:type="paragraph" w:styleId="a9">
    <w:name w:val="Title"/>
    <w:basedOn w:val="a"/>
    <w:qFormat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uk-UA"/>
    </w:rPr>
  </w:style>
  <w:style w:type="paragraph" w:customStyle="1" w:styleId="aa">
    <w:name w:val="Нормальний текст"/>
    <w:basedOn w:val="a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rvts15">
    <w:name w:val="rvts15"/>
    <w:basedOn w:val="a0"/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paragraph" w:customStyle="1" w:styleId="rvps12">
    <w:name w:val="rvps1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14">
    <w:name w:val="rvps1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82">
    <w:name w:val="rvts8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46">
    <w:name w:val="rvts46"/>
    <w:basedOn w:val="a0"/>
  </w:style>
  <w:style w:type="paragraph" w:styleId="3">
    <w:name w:val="Body Text Indent 3"/>
    <w:basedOn w:val="a"/>
    <w:semiHidden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paragraph" w:styleId="ab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rFonts w:ascii="Calibri" w:hAnsi="Calibri"/>
      <w:sz w:val="22"/>
      <w:szCs w:val="22"/>
      <w:lang w:val="uk-UA" w:eastAsia="en-US"/>
    </w:rPr>
  </w:style>
  <w:style w:type="paragraph" w:styleId="HTML">
    <w:name w:val="HTML Preformatted"/>
    <w:basedOn w:val="a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rPr>
      <w:rFonts w:ascii="Courier New" w:hAnsi="Courier New" w:cs="Courier New"/>
    </w:rPr>
  </w:style>
  <w:style w:type="paragraph" w:customStyle="1" w:styleId="11">
    <w:name w:val="Текст выноски1"/>
    <w:basedOn w:val="a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semiHidden/>
    <w:rPr>
      <w:rFonts w:ascii="Tahoma" w:hAnsi="Tahoma" w:cs="Tahoma"/>
      <w:sz w:val="16"/>
      <w:szCs w:val="16"/>
      <w:lang w:val="uk-UA" w:eastAsia="en-US"/>
    </w:rPr>
  </w:style>
  <w:style w:type="paragraph" w:styleId="20">
    <w:name w:val="Body Text Indent 2"/>
    <w:basedOn w:val="a"/>
    <w:semiHidden/>
    <w:pPr>
      <w:shd w:val="clear" w:color="auto" w:fill="FF000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e">
    <w:name w:val="Balloon Text"/>
    <w:basedOn w:val="a"/>
    <w:link w:val="12"/>
    <w:uiPriority w:val="99"/>
    <w:semiHidden/>
    <w:unhideWhenUsed/>
    <w:rsid w:val="006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e"/>
    <w:uiPriority w:val="99"/>
    <w:semiHidden/>
    <w:rsid w:val="006B12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41F10-6912-4E84-A3CF-606BDA44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АНАЛІЗ РЕГУЛЯТОРНОГО ВПЛИВУ</vt:lpstr>
      <vt:lpstr>АНАЛІЗ РЕГУЛЯТОРНОГО ВПЛИВУ</vt:lpstr>
    </vt:vector>
  </TitlesOfParts>
  <Company>MinEconomRozvitku</Company>
  <LinksUpToDate>false</LinksUpToDate>
  <CharactersWithSpaces>2309</CharactersWithSpaces>
  <SharedDoc>false</SharedDoc>
  <HLinks>
    <vt:vector size="6" baseType="variant"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https://zakon.rada.gov.ua/laws/show/294-2016-%D0%BF</vt:lpwstr>
      </vt:variant>
      <vt:variant>
        <vt:lpwstr>n2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creator>gritskova</dc:creator>
  <cp:lastModifiedBy>Андрей</cp:lastModifiedBy>
  <cp:revision>5</cp:revision>
  <cp:lastPrinted>2019-10-03T08:11:00Z</cp:lastPrinted>
  <dcterms:created xsi:type="dcterms:W3CDTF">2019-10-02T11:51:00Z</dcterms:created>
  <dcterms:modified xsi:type="dcterms:W3CDTF">2019-10-03T08:11:00Z</dcterms:modified>
</cp:coreProperties>
</file>