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CA" w:rsidRPr="00F751CA" w:rsidRDefault="00F751CA" w:rsidP="00F75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:rsidR="00F751CA" w:rsidRPr="00F751CA" w:rsidRDefault="00F751CA" w:rsidP="00F751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до проєкту </w:t>
      </w:r>
      <w:r w:rsidRPr="00F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 Кабінету Міністрів України </w:t>
      </w:r>
    </w:p>
    <w:p w:rsidR="00057181" w:rsidRDefault="00057181" w:rsidP="00F7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мопедів» </w:t>
      </w:r>
    </w:p>
    <w:p w:rsidR="00F751CA" w:rsidRPr="00F751CA" w:rsidRDefault="00F751CA" w:rsidP="00F7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1CA" w:rsidRPr="00F751CA" w:rsidRDefault="00F751CA" w:rsidP="00F751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</w:t>
      </w:r>
    </w:p>
    <w:p w:rsidR="00057181" w:rsidRDefault="00F751CA" w:rsidP="00F7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751CA">
        <w:rPr>
          <w:rFonts w:ascii="Times New Roman" w:eastAsia="Arial Unicode MS" w:hAnsi="Times New Roman" w:cs="Times New Roman"/>
          <w:color w:val="000000"/>
          <w:sz w:val="28"/>
          <w:szCs w:val="28"/>
        </w:rPr>
        <w:t>Проєкт акта розроблено з метою</w:t>
      </w:r>
      <w:r w:rsidR="000D1F82" w:rsidRPr="000D1F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057181" w:rsidRPr="000571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приведення порядку державної реєстрації (перереєстрації), зняття з обліку транспортних засобів у відповідність до </w:t>
      </w:r>
      <w:r w:rsidR="0070026D">
        <w:rPr>
          <w:rFonts w:ascii="Times New Roman" w:eastAsia="Arial Unicode MS" w:hAnsi="Times New Roman" w:cs="Times New Roman"/>
          <w:color w:val="000000"/>
          <w:sz w:val="28"/>
          <w:szCs w:val="28"/>
        </w:rPr>
        <w:t>чинних</w:t>
      </w:r>
      <w:r w:rsidR="00057181" w:rsidRPr="000571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нормативно-правових актів та його вдосконалення.</w:t>
      </w:r>
    </w:p>
    <w:p w:rsidR="00057181" w:rsidRDefault="00057181" w:rsidP="00057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751CA" w:rsidRPr="00057181" w:rsidRDefault="00F751CA" w:rsidP="0005718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571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Проблема, яка потребує розв’язання </w:t>
      </w:r>
    </w:p>
    <w:p w:rsidR="00057181" w:rsidRPr="00057181" w:rsidRDefault="00057181" w:rsidP="0005718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B6D7D" w:rsidRPr="008B6D7D" w:rsidRDefault="00F751CA" w:rsidP="008B6D7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751C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Проєкт акта розроблено з метою </w:t>
      </w:r>
      <w:r w:rsidR="00580556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="008B6D7D" w:rsidRP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досконалення існуючої процедури державної реєстрації транспортних засобів, зокрема, </w:t>
      </w:r>
      <w:r w:rsidR="006F344F">
        <w:rPr>
          <w:rFonts w:ascii="Times New Roman" w:eastAsia="Arial Unicode MS" w:hAnsi="Times New Roman" w:cs="Times New Roman"/>
          <w:color w:val="000000"/>
          <w:sz w:val="28"/>
          <w:szCs w:val="28"/>
        </w:rPr>
        <w:t>у</w:t>
      </w:r>
      <w:r w:rsidR="008B6D7D" w:rsidRP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частині не</w:t>
      </w:r>
      <w:r w:rsid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>допущення відчуження транспортних</w:t>
      </w:r>
      <w:r w:rsidR="008B6D7D" w:rsidRP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засобів, відомості стосовно власник</w:t>
      </w:r>
      <w:r w:rsid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>ів</w:t>
      </w:r>
      <w:r w:rsidR="008B6D7D" w:rsidRP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як</w:t>
      </w:r>
      <w:r w:rsid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>их</w:t>
      </w:r>
      <w:r w:rsidR="008B6D7D" w:rsidRP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містяться в Єдиному реєстрі боржників, </w:t>
      </w:r>
      <w:r w:rsidR="0058055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забезпечення </w:t>
      </w:r>
      <w:r w:rsidR="008B6D7D" w:rsidRP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можливості подання заяви та документів, необхідних для реєстрації транспортних засобів через </w:t>
      </w:r>
      <w:r w:rsidR="00580556">
        <w:rPr>
          <w:rFonts w:ascii="Times New Roman" w:eastAsia="Arial Unicode MS" w:hAnsi="Times New Roman" w:cs="Times New Roman"/>
          <w:color w:val="000000"/>
          <w:sz w:val="28"/>
          <w:szCs w:val="28"/>
        </w:rPr>
        <w:t>І</w:t>
      </w:r>
      <w:r w:rsidR="008B6D7D" w:rsidRP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нтернет в електронному вигляді, спрощення процедури огляду транспортних засобів під час їх державної реєстрації, перереєстрації та зняття з обліку, визначення порядку перереєстрації транспортних засобів, що належать юридичним особам недержавної форми власності, </w:t>
      </w:r>
      <w:r w:rsidR="0008551F" w:rsidRPr="0008551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переходять у власність страховиків після виплати страхувальникам повної страхової </w:t>
      </w:r>
      <w:proofErr w:type="spellStart"/>
      <w:r w:rsidR="0008551F" w:rsidRPr="0008551F">
        <w:rPr>
          <w:rFonts w:ascii="Times New Roman" w:eastAsia="Arial Unicode MS" w:hAnsi="Times New Roman" w:cs="Times New Roman"/>
          <w:color w:val="000000"/>
          <w:sz w:val="28"/>
          <w:szCs w:val="28"/>
        </w:rPr>
        <w:t>суми</w:t>
      </w:r>
      <w:r w:rsidR="00A37E9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8B6D7D" w:rsidRP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proofErr w:type="spellEnd"/>
      <w:r w:rsidR="008B6D7D" w:rsidRP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також транспортних засобів, які є внесками  учасників до статутного фонду господарських товариств</w:t>
      </w:r>
      <w:r w:rsidR="00A37E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A37E98" w:rsidRPr="00A37E98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конкретизації переліку документів, які є підставою для скасування реєстрації транспортних засобів</w:t>
      </w:r>
      <w:r w:rsidR="008B6D7D" w:rsidRPr="008B6D7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B6D7D" w:rsidRDefault="008B6D7D" w:rsidP="00F7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751CA" w:rsidRPr="00F751CA" w:rsidRDefault="00F751CA" w:rsidP="00F751CA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Суть проєкту акта</w:t>
      </w:r>
    </w:p>
    <w:p w:rsidR="00A37E98" w:rsidRDefault="00F751CA" w:rsidP="00F75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751C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Проєкт акта передбачає внесення змін до </w:t>
      </w:r>
      <w:r w:rsidR="00A37E98" w:rsidRPr="00A37E98">
        <w:rPr>
          <w:rFonts w:ascii="Times New Roman" w:eastAsia="Arial Unicode MS" w:hAnsi="Times New Roman" w:cs="Times New Roman"/>
          <w:color w:val="000000"/>
          <w:sz w:val="28"/>
          <w:szCs w:val="28"/>
        </w:rPr>
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A37E98">
        <w:rPr>
          <w:rFonts w:ascii="Times New Roman" w:eastAsia="Arial Unicode MS" w:hAnsi="Times New Roman" w:cs="Times New Roman"/>
          <w:color w:val="000000"/>
          <w:sz w:val="28"/>
          <w:szCs w:val="28"/>
        </w:rPr>
        <w:t>, затвердженого</w:t>
      </w:r>
      <w:r w:rsidR="000D1F82" w:rsidRPr="000D1F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37E98" w:rsidRPr="00A37E98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</w:t>
      </w:r>
      <w:r w:rsidR="00A37E98">
        <w:rPr>
          <w:rFonts w:ascii="Times New Roman" w:eastAsia="Arial Unicode MS" w:hAnsi="Times New Roman" w:cs="Times New Roman"/>
          <w:color w:val="000000"/>
          <w:sz w:val="28"/>
          <w:szCs w:val="28"/>
        </w:rPr>
        <w:t>ою</w:t>
      </w:r>
      <w:r w:rsidR="00A37E98" w:rsidRPr="00A37E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Кабінету Міністрів України від 07 вересня 1998 р</w:t>
      </w:r>
      <w:r w:rsidR="00242F80">
        <w:rPr>
          <w:rFonts w:ascii="Times New Roman" w:eastAsia="Arial Unicode MS" w:hAnsi="Times New Roman" w:cs="Times New Roman"/>
          <w:color w:val="000000"/>
          <w:sz w:val="28"/>
          <w:szCs w:val="28"/>
        </w:rPr>
        <w:t>оку</w:t>
      </w:r>
      <w:r w:rsidR="00A37E98" w:rsidRPr="00A37E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1388</w:t>
      </w:r>
      <w:r w:rsidR="007002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(далі – Порядок)</w:t>
      </w:r>
      <w:r w:rsidR="00E33E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з урахуванням </w:t>
      </w:r>
      <w:r w:rsidR="00FC6A3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положень </w:t>
      </w:r>
      <w:r w:rsidR="00A33C18" w:rsidRPr="00A33C18">
        <w:rPr>
          <w:rFonts w:ascii="Times New Roman" w:eastAsia="Arial Unicode MS" w:hAnsi="Times New Roman" w:cs="Times New Roman"/>
          <w:color w:val="000000"/>
          <w:sz w:val="28"/>
          <w:szCs w:val="28"/>
        </w:rPr>
        <w:t>Цивільного, Господарського та К</w:t>
      </w:r>
      <w:r w:rsidR="00A33C18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 w:rsidR="00A33C18" w:rsidRPr="00A33C1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имінального процесуального кодексів України, </w:t>
      </w:r>
      <w:r w:rsidR="00FC6A31" w:rsidRPr="00FC6A31">
        <w:rPr>
          <w:rFonts w:ascii="Times New Roman" w:eastAsia="Arial Unicode MS" w:hAnsi="Times New Roman" w:cs="Times New Roman"/>
          <w:color w:val="000000"/>
          <w:sz w:val="28"/>
          <w:szCs w:val="28"/>
        </w:rPr>
        <w:t>Законів України «Про дорожній рух», «Про електронні довірчі послуги», «Про фінансовий лізинг», «Про виконавче провадження», «Про державну реєстрацію юридичних осіб, фізичних осі</w:t>
      </w:r>
      <w:r w:rsidR="00580556">
        <w:rPr>
          <w:rFonts w:ascii="Times New Roman" w:eastAsia="Arial Unicode MS" w:hAnsi="Times New Roman" w:cs="Times New Roman"/>
          <w:color w:val="000000"/>
          <w:sz w:val="28"/>
          <w:szCs w:val="28"/>
        </w:rPr>
        <w:t>б</w:t>
      </w:r>
      <w:r w:rsidR="006F34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58055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="006F34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C6A31" w:rsidRPr="00FC6A31">
        <w:rPr>
          <w:rFonts w:ascii="Times New Roman" w:eastAsia="Arial Unicode MS" w:hAnsi="Times New Roman" w:cs="Times New Roman"/>
          <w:color w:val="000000"/>
          <w:sz w:val="28"/>
          <w:szCs w:val="28"/>
        </w:rPr>
        <w:t>підприємців та громадських формувань», «Про внесення змін до деяких законодавчих актів України щодо підвищення рівня корпоративного управління в акціонерних товариствах», постанов Кабінету Міністрів України від 09 червня  2011 р</w:t>
      </w:r>
      <w:r w:rsidR="00242F80">
        <w:rPr>
          <w:rFonts w:ascii="Times New Roman" w:eastAsia="Arial Unicode MS" w:hAnsi="Times New Roman" w:cs="Times New Roman"/>
          <w:color w:val="000000"/>
          <w:sz w:val="28"/>
          <w:szCs w:val="28"/>
        </w:rPr>
        <w:t>оку</w:t>
      </w:r>
      <w:r w:rsidR="00FC6A31" w:rsidRPr="00FC6A3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6F34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</w:t>
      </w:r>
      <w:r w:rsidR="00FC6A31" w:rsidRPr="00FC6A3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738 «Деякі питання сертифікації транспортних засобів, їх частин та </w:t>
      </w:r>
      <w:r w:rsidR="00FC6A31" w:rsidRPr="00FC6A3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обладнання», від 30 вересня  2009 р</w:t>
      </w:r>
      <w:r w:rsidR="00242F80">
        <w:rPr>
          <w:rFonts w:ascii="Times New Roman" w:eastAsia="Arial Unicode MS" w:hAnsi="Times New Roman" w:cs="Times New Roman"/>
          <w:color w:val="000000"/>
          <w:sz w:val="28"/>
          <w:szCs w:val="28"/>
        </w:rPr>
        <w:t>оку</w:t>
      </w:r>
      <w:r w:rsidR="00FC6A31" w:rsidRPr="00FC6A3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1032 «Про затвердження Порядку відомчої реєстрації та ведення обліку транспортних засобів Збройних Сил України»</w:t>
      </w:r>
      <w:r w:rsidR="008317EB">
        <w:rPr>
          <w:rFonts w:ascii="Times New Roman" w:eastAsia="Arial Unicode MS" w:hAnsi="Times New Roman" w:cs="Times New Roman"/>
          <w:color w:val="000000"/>
          <w:sz w:val="28"/>
          <w:szCs w:val="28"/>
        </w:rPr>
        <w:t>, зокрема щодо:</w:t>
      </w:r>
    </w:p>
    <w:p w:rsidR="00A37E98" w:rsidRPr="00A37E98" w:rsidRDefault="00446568" w:rsidP="00A37E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4465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подання заяви та документів через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нтернет в електронному вигляді у випадках, коли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під час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проведенн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реєстрації (перереєстрації) транспортні засоби не підлягають огляду фахівцями експертної служби МВС;</w:t>
      </w:r>
    </w:p>
    <w:p w:rsidR="00FC6A31" w:rsidRDefault="00446568" w:rsidP="00A37E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4465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відчуження транспортних засобів, які перейшли у власність спадкоємця на підставі свідоцтва про право на спадщину, без </w:t>
      </w:r>
      <w:r w:rsidR="00FC6A3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їх перереєстрації на спадкоємця; </w:t>
      </w:r>
    </w:p>
    <w:p w:rsidR="00FC6A31" w:rsidRDefault="00446568" w:rsidP="00A37E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4465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FC6A31" w:rsidRPr="00FC6A3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перереєстрації транспортних засобів без їх огляду фахівцями експертної служби МВС у зв’язку отриманням чи перезакріпленням індивідуального номерного знак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C6A31" w:rsidRPr="00FC6A3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, а також тимчасового реєстраційного талона під час передачі права користування та/або розпорядження транспортними засобами, які були зареє</w:t>
      </w:r>
      <w:r w:rsidR="00FC6A3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стровані після 01 січня 2013 р</w:t>
      </w:r>
      <w:r w:rsidR="00242F8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оку.</w:t>
      </w:r>
    </w:p>
    <w:p w:rsidR="00A37E98" w:rsidRPr="00A37E98" w:rsidRDefault="00446568" w:rsidP="00A37E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C6A3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роєкт акта передбачає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також</w:t>
      </w:r>
      <w:r w:rsidR="00FC6A3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37E98" w:rsidRPr="00A37E98" w:rsidRDefault="00446568" w:rsidP="00A37E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4465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заборон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перереєстрації транспортного засобу, крім випадків, не пов’язаних з його відчуженням, у разі звернення до сервісного центру МВС щодо транспортного засобу, відомості стосовно власника якого містяться в Єдиному реєстрі боржників;</w:t>
      </w:r>
    </w:p>
    <w:p w:rsidR="00A37E98" w:rsidRPr="00A37E98" w:rsidRDefault="00446568" w:rsidP="00A37E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4465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визначення реєстраційних документів іноземних держав на транспортний засіб або документів, що підтверджують їх реєстрацію за межами України,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під час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реєстрації ввезених в Україну транспортних засобів;</w:t>
      </w:r>
    </w:p>
    <w:p w:rsidR="00A37E98" w:rsidRPr="00A37E98" w:rsidRDefault="00446568" w:rsidP="00A37E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4465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визначення порядку перереєстрації транспортних засобів, що належать юридичним особам недержавної форми власності, транспортних засобів, які є внесками  учасників до статутного фонду господарських товариств, а також транспортних засобів, що переходять у власність страховиків після виплати страхувальникам повної страхової суми;</w:t>
      </w:r>
    </w:p>
    <w:p w:rsidR="00A37E98" w:rsidRPr="00A37E98" w:rsidRDefault="00446568" w:rsidP="006E4CF0">
      <w:pPr>
        <w:widowControl w:val="0"/>
        <w:shd w:val="clear" w:color="auto" w:fill="FFFFFF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4465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6E4CF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визначення порядку державної реєстрації (перереєстрації) переобладнаних транспортних засобів;</w:t>
      </w:r>
    </w:p>
    <w:p w:rsidR="00A37E98" w:rsidRPr="00A37E98" w:rsidRDefault="00446568" w:rsidP="00A37E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4465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визначення порядку скасування державної реєстрації (перереєстрації) зняття з обліку транспортних засобів;</w:t>
      </w:r>
    </w:p>
    <w:p w:rsidR="00A37E98" w:rsidRPr="00F751CA" w:rsidRDefault="00446568" w:rsidP="00A37E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44656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визначення порядку зняття з обліку транспортних засобів </w:t>
      </w:r>
      <w:r w:rsidR="006F344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у зв’язку 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="006F344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A37E98" w:rsidRPr="00A37E9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зміною органу реєстрації.</w:t>
      </w:r>
    </w:p>
    <w:p w:rsidR="008E6883" w:rsidRPr="00F751CA" w:rsidRDefault="008E6883" w:rsidP="008E68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C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Вплив на бюджет</w:t>
      </w:r>
    </w:p>
    <w:p w:rsidR="008E6883" w:rsidRDefault="008E6883" w:rsidP="008E688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51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проєкту акта не п</w:t>
      </w:r>
      <w:r w:rsidR="006F34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отребуватиме додаткових витрат </w:t>
      </w:r>
      <w:r w:rsidRPr="00F751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Державного чи місцевого бюджетів України.</w:t>
      </w:r>
    </w:p>
    <w:p w:rsidR="00754747" w:rsidRDefault="00754747" w:rsidP="008E688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4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Прогноз впливу</w:t>
      </w:r>
    </w:p>
    <w:p w:rsidR="00754747" w:rsidRDefault="00754747" w:rsidP="008E6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4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Очікується позитивний вплив від прийняття проєкту акта, оскільки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надасть можливість </w:t>
      </w:r>
      <w:r w:rsidR="00446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досконалити процедуру державної реєстрації транспортних засобів, привести порядок державної реєстрації у відповідність до чинного законодавства та зменшити кількість конфліктних ситуаці</w:t>
      </w:r>
      <w:r w:rsidR="00446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</w:t>
      </w:r>
      <w:r w:rsidR="006F34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державної реєстрації транспортних засобів.</w:t>
      </w:r>
    </w:p>
    <w:p w:rsidR="00754747" w:rsidRPr="00754747" w:rsidRDefault="00754747" w:rsidP="008E6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Регуляторний акт відповідає</w:t>
      </w:r>
      <w:r w:rsidR="008E6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вимогам Закону України «Про засади державної регуляторної політики у сфері господарської діяльності» та </w:t>
      </w:r>
      <w:r w:rsidR="008E6E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принципам державної регуляторної політики, а саме: доцільності, ефективності, збалансованості, передбачуваності.</w:t>
      </w:r>
    </w:p>
    <w:p w:rsidR="004C74D3" w:rsidRPr="00F751CA" w:rsidRDefault="008317EB" w:rsidP="004C74D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</w:t>
      </w:r>
      <w:r w:rsidR="004C74D3" w:rsidRPr="00F7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 Позиція заінтересованих </w:t>
      </w:r>
      <w:r w:rsidR="004C7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органів</w:t>
      </w:r>
    </w:p>
    <w:p w:rsidR="00C72CE9" w:rsidRDefault="002D3F59" w:rsidP="00C72C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Проєкт акта </w:t>
      </w:r>
      <w:r w:rsidR="00C72C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</w:t>
      </w:r>
      <w:r w:rsidR="00981B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D1F82" w:rsidRPr="000D1F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2CE9" w:rsidRPr="00C72C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</w:t>
      </w:r>
      <w:r w:rsidR="00C72C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C72CE9" w:rsidRPr="00C72C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фінансів</w:t>
      </w:r>
      <w:r w:rsidR="00A33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="00C72CE9" w:rsidRPr="00C72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C72CE9" w:rsidRPr="00C72CE9">
        <w:rPr>
          <w:rFonts w:ascii="Times New Roman" w:hAnsi="Times New Roman" w:cs="Times New Roman"/>
          <w:snapToGrid w:val="0"/>
          <w:sz w:val="28"/>
          <w:szCs w:val="20"/>
        </w:rPr>
        <w:t>Міністерство</w:t>
      </w:r>
      <w:r w:rsidR="00C72CE9">
        <w:rPr>
          <w:rFonts w:ascii="Times New Roman" w:hAnsi="Times New Roman" w:cs="Times New Roman"/>
          <w:snapToGrid w:val="0"/>
          <w:sz w:val="28"/>
          <w:szCs w:val="20"/>
        </w:rPr>
        <w:t>м</w:t>
      </w:r>
      <w:r w:rsidR="00C72CE9" w:rsidRPr="00C72CE9">
        <w:rPr>
          <w:rFonts w:ascii="Times New Roman" w:hAnsi="Times New Roman" w:cs="Times New Roman"/>
          <w:snapToGrid w:val="0"/>
          <w:sz w:val="28"/>
          <w:szCs w:val="20"/>
        </w:rPr>
        <w:t xml:space="preserve"> розвитку економіки, торгівлі та сільського господарства</w:t>
      </w:r>
      <w:r w:rsidR="00A33C18">
        <w:rPr>
          <w:rFonts w:ascii="Times New Roman" w:hAnsi="Times New Roman" w:cs="Times New Roman"/>
          <w:snapToGrid w:val="0"/>
          <w:sz w:val="28"/>
          <w:szCs w:val="20"/>
        </w:rPr>
        <w:t xml:space="preserve"> України</w:t>
      </w:r>
      <w:r w:rsidR="00C72CE9" w:rsidRPr="00C72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C72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Міністерством оборони</w:t>
      </w:r>
      <w:r w:rsidR="00A33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України</w:t>
      </w:r>
      <w:r w:rsidR="00C72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0D1F82" w:rsidRPr="000D1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CA4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Міністерством інфраструктури України, </w:t>
      </w:r>
      <w:r w:rsidR="0083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Міністерством закордонних справ України, </w:t>
      </w:r>
      <w:r w:rsidR="00134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Державною фіскальною службою</w:t>
      </w:r>
      <w:r w:rsidR="00A33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України</w:t>
      </w:r>
      <w:r w:rsidR="00134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0D1F82" w:rsidRPr="000D1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CA4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Державною митною службою</w:t>
      </w:r>
      <w:r w:rsidR="00A33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України</w:t>
      </w:r>
      <w:r w:rsidR="0083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Державною регуляторною службою України</w:t>
      </w:r>
      <w:r w:rsidR="000D3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Державною службою України з питань праці</w:t>
      </w:r>
      <w:r w:rsidR="00C72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09020C" w:rsidRDefault="0009020C" w:rsidP="00C72C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9020C" w:rsidRDefault="0009020C" w:rsidP="00C72C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90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Ризики та обмеження</w:t>
      </w:r>
    </w:p>
    <w:p w:rsidR="0009020C" w:rsidRDefault="0009020C" w:rsidP="00C72C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9020C" w:rsidRDefault="0009020C" w:rsidP="00C72C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9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про</w:t>
      </w:r>
      <w:r w:rsidR="002D3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є</w:t>
      </w:r>
      <w:r w:rsidRPr="0009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кті акта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відсутні положення, що стосуються прав та свобод, гарантованих Конвенцією про захист прав людини і основоположних свобод.</w:t>
      </w:r>
    </w:p>
    <w:p w:rsidR="002D3F59" w:rsidRDefault="002D3F59" w:rsidP="00C72C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 проєкті акта відсутні положення, які порушують принцип забезпечення рівних прав та можливостей жінок і чоловіків, у зв’язку </w:t>
      </w:r>
      <w:r w:rsidR="00446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 чим оцінка гендерного впливу проєкту акта не здійснювалас</w:t>
      </w:r>
      <w:r w:rsidR="00446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2D3F59" w:rsidRDefault="002D3F59" w:rsidP="00C72C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проєкті акта відсутні положення, які містять ознаки дискримінації.</w:t>
      </w:r>
    </w:p>
    <w:p w:rsidR="0067106C" w:rsidRDefault="002D3F59" w:rsidP="00C72C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 акта не потребує проведення громадської антидискримінаційної експертизи</w:t>
      </w:r>
      <w:r w:rsidR="00671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2D3F59" w:rsidRPr="0009020C" w:rsidRDefault="0067106C" w:rsidP="00C72C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 проєкті акта відсутні правила і процедури, які можуть містити ризики вчинення корупційних правопорушень та правопорушень, </w:t>
      </w:r>
      <w:r w:rsidR="00BC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пов’язаних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корупцією</w:t>
      </w:r>
      <w:r w:rsidR="00BC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4C74D3" w:rsidRPr="00F751CA" w:rsidRDefault="004C74D3" w:rsidP="004C74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B50FA" w:rsidRDefault="0067106C" w:rsidP="008B50FA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B50FA" w:rsidRPr="00F7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8B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ідстави розроблення проєкту акта</w:t>
      </w:r>
    </w:p>
    <w:p w:rsidR="000D3BA3" w:rsidRPr="00C72CE9" w:rsidRDefault="000D3BA3" w:rsidP="008B50FA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4D3" w:rsidRDefault="0065323A" w:rsidP="00A33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Проєкт постанови Кабінету Міністрів України</w:t>
      </w:r>
      <w:r w:rsidR="000D1F82" w:rsidRPr="000D1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3C18" w:rsidRPr="00A33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мопедів»</w:t>
      </w:r>
      <w:r w:rsidR="000D1F82" w:rsidRPr="000D1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653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</w:t>
      </w:r>
      <w:r w:rsidR="00446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53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 Міністерство внутрішніх справ України </w:t>
      </w:r>
      <w:r w:rsidR="0070026D" w:rsidRPr="0070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 метою приведення </w:t>
      </w:r>
      <w:r w:rsidR="0070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Порядку </w:t>
      </w:r>
      <w:r w:rsidR="0070026D" w:rsidRPr="0070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відповідність до </w:t>
      </w:r>
      <w:r w:rsidR="0070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чинних</w:t>
      </w:r>
      <w:r w:rsidR="0070026D" w:rsidRPr="0070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нормативно-правових актів</w:t>
      </w:r>
      <w:r w:rsidR="0070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вдосконалення процедури </w:t>
      </w:r>
      <w:r w:rsidR="0070026D" w:rsidRPr="0070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державної реєстрації (перереєстрації), зняття з обліку транспортних засобів</w:t>
      </w:r>
      <w:r w:rsidR="00700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74D3" w:rsidRDefault="004C74D3" w:rsidP="00653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6D" w:rsidRDefault="0070026D" w:rsidP="00653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23A" w:rsidRPr="00F751CA" w:rsidRDefault="0065323A" w:rsidP="00653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Міністр внутрішніх справ України</w:t>
      </w:r>
      <w:r w:rsidRPr="00F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7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Арсен АВАКОВ</w:t>
      </w:r>
    </w:p>
    <w:p w:rsidR="0065323A" w:rsidRPr="00F751CA" w:rsidRDefault="0065323A" w:rsidP="0065323A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751CA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 20</w:t>
      </w:r>
      <w:r w:rsidR="008E6E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28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sectPr w:rsidR="0065323A" w:rsidRPr="00F751CA" w:rsidSect="0065323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74" w:rsidRDefault="00EE5674" w:rsidP="004C74D3">
      <w:pPr>
        <w:spacing w:after="0" w:line="240" w:lineRule="auto"/>
      </w:pPr>
      <w:r>
        <w:separator/>
      </w:r>
    </w:p>
  </w:endnote>
  <w:endnote w:type="continuationSeparator" w:id="0">
    <w:p w:rsidR="00EE5674" w:rsidRDefault="00EE5674" w:rsidP="004C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74" w:rsidRDefault="00EE5674" w:rsidP="004C74D3">
      <w:pPr>
        <w:spacing w:after="0" w:line="240" w:lineRule="auto"/>
      </w:pPr>
      <w:r>
        <w:separator/>
      </w:r>
    </w:p>
  </w:footnote>
  <w:footnote w:type="continuationSeparator" w:id="0">
    <w:p w:rsidR="00EE5674" w:rsidRDefault="00EE5674" w:rsidP="004C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272933"/>
    </w:sdtPr>
    <w:sdtEndPr>
      <w:rPr>
        <w:rFonts w:ascii="Times New Roman" w:hAnsi="Times New Roman" w:cs="Times New Roman"/>
        <w:sz w:val="28"/>
        <w:szCs w:val="28"/>
      </w:rPr>
    </w:sdtEndPr>
    <w:sdtContent>
      <w:p w:rsidR="004C74D3" w:rsidRPr="004C74D3" w:rsidRDefault="00756A3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4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74D3" w:rsidRPr="004C74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74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1F82" w:rsidRPr="000D1F8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4C74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74D3" w:rsidRDefault="004C7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1710"/>
    <w:multiLevelType w:val="hybridMultilevel"/>
    <w:tmpl w:val="B19EA37A"/>
    <w:lvl w:ilvl="0" w:tplc="8E829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A"/>
    <w:rsid w:val="000064DE"/>
    <w:rsid w:val="00057181"/>
    <w:rsid w:val="0008551F"/>
    <w:rsid w:val="00086B13"/>
    <w:rsid w:val="0009020C"/>
    <w:rsid w:val="000D1F82"/>
    <w:rsid w:val="000D3BA3"/>
    <w:rsid w:val="001345BC"/>
    <w:rsid w:val="00231026"/>
    <w:rsid w:val="00242F80"/>
    <w:rsid w:val="00250547"/>
    <w:rsid w:val="002D3F59"/>
    <w:rsid w:val="002D6BF9"/>
    <w:rsid w:val="00393DBD"/>
    <w:rsid w:val="003A0F38"/>
    <w:rsid w:val="003D6422"/>
    <w:rsid w:val="00412834"/>
    <w:rsid w:val="00425535"/>
    <w:rsid w:val="00446568"/>
    <w:rsid w:val="00493815"/>
    <w:rsid w:val="004942B9"/>
    <w:rsid w:val="004C74D3"/>
    <w:rsid w:val="00503AE2"/>
    <w:rsid w:val="00570740"/>
    <w:rsid w:val="00580556"/>
    <w:rsid w:val="005872B8"/>
    <w:rsid w:val="005D2AC7"/>
    <w:rsid w:val="0065323A"/>
    <w:rsid w:val="0067106C"/>
    <w:rsid w:val="006B4133"/>
    <w:rsid w:val="006E4CF0"/>
    <w:rsid w:val="006F344F"/>
    <w:rsid w:val="0070026D"/>
    <w:rsid w:val="00706C4C"/>
    <w:rsid w:val="00754747"/>
    <w:rsid w:val="00756A35"/>
    <w:rsid w:val="007E3650"/>
    <w:rsid w:val="007E6657"/>
    <w:rsid w:val="007F0341"/>
    <w:rsid w:val="008317EB"/>
    <w:rsid w:val="00850D43"/>
    <w:rsid w:val="008A29C6"/>
    <w:rsid w:val="008B50FA"/>
    <w:rsid w:val="008B6D7D"/>
    <w:rsid w:val="008E2E9D"/>
    <w:rsid w:val="008E6883"/>
    <w:rsid w:val="008E6E78"/>
    <w:rsid w:val="00922ECB"/>
    <w:rsid w:val="00941D7D"/>
    <w:rsid w:val="009658C4"/>
    <w:rsid w:val="00980F81"/>
    <w:rsid w:val="00981BF0"/>
    <w:rsid w:val="009964E6"/>
    <w:rsid w:val="009E475A"/>
    <w:rsid w:val="009F7FEB"/>
    <w:rsid w:val="00A33C18"/>
    <w:rsid w:val="00A37E98"/>
    <w:rsid w:val="00AA48DD"/>
    <w:rsid w:val="00AF456F"/>
    <w:rsid w:val="00BC2651"/>
    <w:rsid w:val="00C639F5"/>
    <w:rsid w:val="00C72CE9"/>
    <w:rsid w:val="00CA4F3D"/>
    <w:rsid w:val="00DA4A4D"/>
    <w:rsid w:val="00DC7BF8"/>
    <w:rsid w:val="00DD0F63"/>
    <w:rsid w:val="00E33E33"/>
    <w:rsid w:val="00EA4A16"/>
    <w:rsid w:val="00EE5674"/>
    <w:rsid w:val="00F327D7"/>
    <w:rsid w:val="00F47B35"/>
    <w:rsid w:val="00F751CA"/>
    <w:rsid w:val="00F94466"/>
    <w:rsid w:val="00FC2550"/>
    <w:rsid w:val="00FC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9557F-AF7F-48A0-8036-C6AE634C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4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4D3"/>
  </w:style>
  <w:style w:type="paragraph" w:styleId="a6">
    <w:name w:val="footer"/>
    <w:basedOn w:val="a"/>
    <w:link w:val="a7"/>
    <w:uiPriority w:val="99"/>
    <w:unhideWhenUsed/>
    <w:rsid w:val="004C74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4D3"/>
  </w:style>
  <w:style w:type="paragraph" w:styleId="a8">
    <w:name w:val="Balloon Text"/>
    <w:basedOn w:val="a"/>
    <w:link w:val="a9"/>
    <w:uiPriority w:val="99"/>
    <w:semiHidden/>
    <w:unhideWhenUsed/>
    <w:rsid w:val="0049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BE26-9A9F-46A3-8CAB-462A6376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М. Вигорницький</dc:creator>
  <cp:lastModifiedBy>RePack by Diakov</cp:lastModifiedBy>
  <cp:revision>3</cp:revision>
  <cp:lastPrinted>2020-06-23T08:55:00Z</cp:lastPrinted>
  <dcterms:created xsi:type="dcterms:W3CDTF">2020-06-23T08:01:00Z</dcterms:created>
  <dcterms:modified xsi:type="dcterms:W3CDTF">2020-06-23T08:55:00Z</dcterms:modified>
</cp:coreProperties>
</file>