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5" w:rsidRDefault="000C2155" w:rsidP="005B5302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13B64" w:rsidRPr="00B86522" w:rsidRDefault="00413B64" w:rsidP="00413B64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B86522">
        <w:rPr>
          <w:rFonts w:ascii="Times New Roman" w:hAnsi="Times New Roman"/>
          <w:color w:val="000000" w:themeColor="text1"/>
          <w:sz w:val="28"/>
          <w:szCs w:val="28"/>
        </w:rPr>
        <w:t>ПОЯСНЮВАЛЬНА ЗАПИСКА</w:t>
      </w:r>
      <w:r w:rsidRPr="00B86522">
        <w:rPr>
          <w:rFonts w:ascii="Times New Roman" w:hAnsi="Times New Roman"/>
          <w:color w:val="000000" w:themeColor="text1"/>
          <w:sz w:val="28"/>
          <w:szCs w:val="28"/>
        </w:rPr>
        <w:br/>
        <w:t>до проекту постанови Кабінету Міністрів України «Про внесення змін</w:t>
      </w:r>
      <w:r w:rsidR="005C6B87">
        <w:rPr>
          <w:rFonts w:ascii="Times New Roman" w:hAnsi="Times New Roman"/>
          <w:color w:val="000000" w:themeColor="text1"/>
          <w:sz w:val="28"/>
          <w:szCs w:val="28"/>
        </w:rPr>
        <w:t>и до пункту 9</w:t>
      </w:r>
      <w:r w:rsidRPr="00B86522">
        <w:rPr>
          <w:rFonts w:ascii="Times New Roman" w:hAnsi="Times New Roman"/>
          <w:color w:val="000000" w:themeColor="text1"/>
          <w:sz w:val="28"/>
          <w:szCs w:val="28"/>
        </w:rPr>
        <w:t xml:space="preserve">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</w:p>
    <w:p w:rsidR="00413B64" w:rsidRDefault="00413B64" w:rsidP="0041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F2A26" w:rsidRPr="00AF2A26" w:rsidRDefault="00AF2A26" w:rsidP="00AF2A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412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удосконалення положень </w:t>
      </w:r>
      <w:r w:rsidRPr="00AF2A26">
        <w:rPr>
          <w:rFonts w:ascii="Times New Roman" w:hAnsi="Times New Roman"/>
          <w:color w:val="000000" w:themeColor="text1"/>
          <w:sz w:val="28"/>
          <w:szCs w:val="28"/>
          <w:lang w:val="uk-UA"/>
        </w:rPr>
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AF2A26" w:rsidRPr="00BC233F" w:rsidRDefault="00AF2A26" w:rsidP="00AF2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2A26" w:rsidRDefault="00AF2A26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n1703"/>
      <w:bookmarkEnd w:id="0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Підстава розроблення проекту акта</w:t>
      </w:r>
    </w:p>
    <w:p w:rsidR="00413B64" w:rsidRPr="00B86522" w:rsidRDefault="00413B64" w:rsidP="00062AFA">
      <w:pPr>
        <w:pStyle w:val="a9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>Проект постанови Кабінету Міністрів України «Про внесення змін</w:t>
      </w:r>
      <w:r w:rsidR="005C6B8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 </w:t>
      </w: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>до</w:t>
      </w:r>
      <w:r w:rsidR="005C6B8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пункту 9</w:t>
      </w: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r w:rsidR="00B86522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 (далі – проект акта) розроблено Міністерством внутрішніх справ України </w:t>
      </w:r>
      <w:r w:rsidR="009720B0"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для </w:t>
      </w:r>
      <w:r w:rsidR="00EB6954">
        <w:rPr>
          <w:rFonts w:ascii="Times New Roman" w:hAnsi="Times New Roman"/>
          <w:b w:val="0"/>
          <w:color w:val="000000" w:themeColor="text1"/>
          <w:sz w:val="28"/>
          <w:szCs w:val="28"/>
        </w:rPr>
        <w:t>виключення можливості подвійного трактування положень</w:t>
      </w:r>
      <w:r w:rsidR="009720B0"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Ліцензійних умов. </w:t>
      </w:r>
    </w:p>
    <w:p w:rsidR="00413B64" w:rsidRPr="00B86522" w:rsidRDefault="00413B64" w:rsidP="0006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2A26" w:rsidRDefault="00AF2A26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 Обґрунтування необхідності прийняття акта</w:t>
      </w:r>
    </w:p>
    <w:p w:rsidR="00EB6954" w:rsidRDefault="005C6B87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>уб’єкти господарювання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отримують ліцензії в Міністерстві внутрішніх справ України,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своїй діяльності керуються Ліцензійними умовами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4,5 міліметра і швидкістю польоту кулі понад 100 метрів на секунду; виробництва спеціальних засобів, заряджених речовинами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сльозоточивої та дратівної дії, індивідуального захисту, активної оборони та їх продажу, затвердженими </w:t>
      </w:r>
      <w:r w:rsidR="00EB6954" w:rsidRPr="00B86522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Кабінету Міністрів України  від 02 грудня 2015 року </w:t>
      </w:r>
      <w:r w:rsidR="00EB6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1000. </w:t>
      </w:r>
    </w:p>
    <w:p w:rsidR="00851468" w:rsidRDefault="005C6B87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6522">
        <w:rPr>
          <w:rFonts w:ascii="Times New Roman" w:hAnsi="Times New Roman" w:cs="Times New Roman"/>
          <w:bCs/>
          <w:sz w:val="28"/>
          <w:szCs w:val="28"/>
          <w:lang w:val="uk-UA"/>
        </w:rPr>
        <w:t>На сьогодні</w:t>
      </w:r>
      <w:r w:rsidR="00EB6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здійснення господарської діяльності з торгівлі зброєю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спецзасобами</w:t>
      </w:r>
      <w:r w:rsidR="00EB6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виникають певні непорозуміння, оскільки </w:t>
      </w:r>
      <w:r w:rsidR="00EB6954"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підпункт 1 пункту 9 (</w:t>
      </w:r>
      <w:r w:rsidR="00EB695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EB6954"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зброя, боєприпаси до неї, спеціальні засоби зберігаються в торговельному залі на вітринах, стелажах, прилавках за умови неможливості раптового заволодіння ними (скріплені тросом, зачинені вітрини тощо) і видаються громадянам за наявності дозволу на їх придбання</w:t>
      </w:r>
      <w:r w:rsidR="00EB695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B6954"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EB6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EB6954"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підпункт 2 пункту 12 (</w:t>
      </w:r>
      <w:r w:rsidR="00EB695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EB6954"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зброя, газові пістолети, револьвери, пристрої вітчизняного виробництва, споряджені гумовими чи аналогічними за своїми властивостями метальними снарядами несмертельної дії (далі - пристрої), продаються на підставі дозволів на їх придбання</w:t>
      </w:r>
      <w:r w:rsidR="00EB695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B6954"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ED696C"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Ліцензійних умов </w:t>
      </w:r>
      <w:r w:rsidR="00EB6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містять однакову вимогу. </w:t>
      </w:r>
    </w:p>
    <w:p w:rsidR="00D45480" w:rsidRDefault="00D45480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45480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Pr="00D45480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підпункту 2  пункту 12 Ліцензійних умов </w:t>
      </w:r>
      <w:r w:rsidRPr="00D45480">
        <w:rPr>
          <w:rFonts w:ascii="Times New Roman" w:hAnsi="Times New Roman"/>
          <w:sz w:val="28"/>
          <w:szCs w:val="28"/>
          <w:lang w:val="uk-UA"/>
        </w:rPr>
        <w:t xml:space="preserve">продаж </w:t>
      </w:r>
      <w:r w:rsidRPr="00D45480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громадянинові зброїта спецзасобів здійснюється за </w:t>
      </w:r>
      <w:r w:rsidRPr="00D45480">
        <w:rPr>
          <w:rFonts w:ascii="Times New Roman" w:hAnsi="Times New Roman"/>
          <w:sz w:val="28"/>
          <w:szCs w:val="28"/>
          <w:lang w:val="uk-UA"/>
        </w:rPr>
        <w:t>дозволом на право їх придбання</w:t>
      </w:r>
      <w:r w:rsidRPr="00D4548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495749" w:rsidRDefault="00D45480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Разом </w:t>
      </w:r>
      <w:r w:rsidR="00ED696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тимп</w:t>
      </w:r>
      <w:r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B865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 пункту 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Ліцензійних умов </w:t>
      </w:r>
      <w:r w:rsidR="0049574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передбачається необхідністьнаявн</w:t>
      </w:r>
      <w:r w:rsidR="00062A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4957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громадянина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озволу на придбання зброї або спецзасобів лише для того, щоб</w:t>
      </w:r>
      <w:r w:rsidR="004957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ліцензіат мав право їх видати громадянинові дляогляду. </w:t>
      </w:r>
      <w:r w:rsidR="00062A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цьому т</w:t>
      </w:r>
      <w:r w:rsidR="004957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акий огляд необхідний громадянинові  для можливості визначення певного</w:t>
      </w:r>
      <w:r w:rsidR="000E0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</w:t>
      </w:r>
      <w:r w:rsidR="0049574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E0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зброї</w:t>
      </w:r>
      <w:r w:rsidR="005C6B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спецзасобівабоїх  </w:t>
      </w:r>
      <w:r w:rsidR="00062A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конкретної </w:t>
      </w:r>
      <w:r w:rsidR="000E032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модел</w:t>
      </w:r>
      <w:r w:rsidR="004957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ідля подальшого звернення в органи поліції для отримання відповідного дозволу на їх придбання. </w:t>
      </w:r>
    </w:p>
    <w:p w:rsidR="00062AFA" w:rsidRDefault="00062AFA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D3CB4" w:rsidRPr="00062AFA" w:rsidRDefault="00FD3CB4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72B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Pr="00062A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Суть проекту акта</w:t>
      </w:r>
    </w:p>
    <w:p w:rsidR="00851468" w:rsidRPr="00062AFA" w:rsidRDefault="00851468" w:rsidP="00062A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62AFA">
        <w:rPr>
          <w:color w:val="000000" w:themeColor="text1"/>
          <w:sz w:val="28"/>
          <w:szCs w:val="28"/>
        </w:rPr>
        <w:t xml:space="preserve">Проектом акта пропонується підпункт 1 пункту 9 Ліцензійних умов викласти </w:t>
      </w:r>
      <w:r w:rsidR="00ED696C">
        <w:rPr>
          <w:color w:val="000000" w:themeColor="text1"/>
          <w:sz w:val="28"/>
          <w:szCs w:val="28"/>
        </w:rPr>
        <w:t>в</w:t>
      </w:r>
      <w:r w:rsidRPr="00062AFA">
        <w:rPr>
          <w:color w:val="000000" w:themeColor="text1"/>
          <w:sz w:val="28"/>
          <w:szCs w:val="28"/>
        </w:rPr>
        <w:t xml:space="preserve"> такій редакції: «</w:t>
      </w:r>
      <w:r w:rsidRPr="00062AFA">
        <w:rPr>
          <w:color w:val="000000"/>
          <w:sz w:val="28"/>
          <w:szCs w:val="28"/>
        </w:rPr>
        <w:t xml:space="preserve">зброя, боєприпаси до неї, спеціальні засоби зберігаються в торговельному залі на вітринах, стелажах, прилавках за умови неможливості раптового заволодіння ними (скріплені тросом, зачинені вітрини тощо) та </w:t>
      </w:r>
      <w:r w:rsidR="004741D6">
        <w:rPr>
          <w:color w:val="000000"/>
          <w:sz w:val="28"/>
          <w:szCs w:val="28"/>
        </w:rPr>
        <w:t xml:space="preserve">можуть </w:t>
      </w:r>
      <w:r w:rsidRPr="00062AFA">
        <w:rPr>
          <w:color w:val="000000"/>
          <w:sz w:val="28"/>
          <w:szCs w:val="28"/>
        </w:rPr>
        <w:t>нада</w:t>
      </w:r>
      <w:r w:rsidR="004741D6">
        <w:rPr>
          <w:color w:val="000000"/>
          <w:sz w:val="28"/>
          <w:szCs w:val="28"/>
        </w:rPr>
        <w:t>вати</w:t>
      </w:r>
      <w:r w:rsidRPr="00062AFA">
        <w:rPr>
          <w:color w:val="000000"/>
          <w:sz w:val="28"/>
          <w:szCs w:val="28"/>
        </w:rPr>
        <w:t xml:space="preserve">ся громадянам для огляду </w:t>
      </w:r>
      <w:r w:rsidR="004741D6">
        <w:rPr>
          <w:color w:val="000000"/>
          <w:sz w:val="28"/>
          <w:szCs w:val="28"/>
        </w:rPr>
        <w:t xml:space="preserve">в цьому залі </w:t>
      </w:r>
      <w:bookmarkStart w:id="1" w:name="_GoBack"/>
      <w:bookmarkEnd w:id="1"/>
      <w:r w:rsidRPr="00062AFA">
        <w:rPr>
          <w:color w:val="000000"/>
          <w:sz w:val="28"/>
          <w:szCs w:val="28"/>
        </w:rPr>
        <w:t>з метою визначення їх виду та моделі зброї,</w:t>
      </w:r>
      <w:r w:rsidR="00062AFA" w:rsidRPr="00062AFA">
        <w:rPr>
          <w:color w:val="000000"/>
          <w:sz w:val="28"/>
          <w:szCs w:val="28"/>
        </w:rPr>
        <w:t xml:space="preserve"> спецзасобів,</w:t>
      </w:r>
      <w:r w:rsidRPr="00062AFA">
        <w:rPr>
          <w:color w:val="000000"/>
          <w:sz w:val="28"/>
          <w:szCs w:val="28"/>
        </w:rPr>
        <w:t xml:space="preserve"> що будуть придбаватися;».</w:t>
      </w:r>
    </w:p>
    <w:p w:rsidR="00FD382C" w:rsidRPr="00062AFA" w:rsidRDefault="00FD382C" w:rsidP="00062AFA">
      <w:pPr>
        <w:keepNext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FA">
        <w:rPr>
          <w:rFonts w:ascii="Times New Roman" w:hAnsi="Times New Roman" w:cs="Times New Roman"/>
          <w:sz w:val="28"/>
          <w:szCs w:val="28"/>
          <w:lang w:val="uk-UA"/>
        </w:rPr>
        <w:t>Таким чином, дозвіл на придбання зброї  громадянин повинен надати ліцензіатові лише при її купівлі.</w:t>
      </w:r>
    </w:p>
    <w:p w:rsidR="00FD382C" w:rsidRPr="00062AFA" w:rsidRDefault="00FD382C" w:rsidP="00062AFA">
      <w:pPr>
        <w:keepNext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FA"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прийняттю проекту акта буде розв’язано зазначену вище проблему та </w:t>
      </w:r>
      <w:r w:rsidR="00062AFA" w:rsidRPr="00062AFA">
        <w:rPr>
          <w:rFonts w:ascii="Times New Roman" w:hAnsi="Times New Roman" w:cs="Times New Roman"/>
          <w:sz w:val="28"/>
          <w:szCs w:val="28"/>
          <w:lang w:val="uk-UA"/>
        </w:rPr>
        <w:t>усунуто можливість подвійного трактування однієї норми</w:t>
      </w:r>
      <w:r w:rsidRPr="00062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CB4" w:rsidRPr="00062AFA" w:rsidRDefault="00FD3CB4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062AFA" w:rsidRDefault="00EB6954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62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</w:t>
      </w:r>
      <w:r w:rsidR="00E87B99" w:rsidRPr="00062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Правові аспекти</w:t>
      </w:r>
    </w:p>
    <w:p w:rsidR="00A53CF0" w:rsidRPr="00062AFA" w:rsidRDefault="001D0BE8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цій сфері правового регулювання діють</w:t>
      </w:r>
      <w:r w:rsidR="00C40C85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A53CF0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акон України «Про ліцензування видів господарської діяльності»</w:t>
      </w:r>
      <w:r w:rsidR="003A46B9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hyperlink r:id="rId7" w:tgtFrame="_top" w:history="1">
        <w:r w:rsidR="00AD4B31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постанов</w:t>
        </w:r>
        <w:r w:rsidR="00B61091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</w:t>
        </w:r>
        <w:r w:rsidR="00E87B99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Кабінету Міністрів України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від </w:t>
        </w:r>
        <w:r w:rsidR="005705E4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0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2 грудня 2015 року № 1000</w:t>
        </w:r>
        <w:r w:rsidR="00A53CF0" w:rsidRPr="00062AFA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«Про затвердження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lastRenderedPageBreak/>
          <w:t>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продажу».</w:t>
        </w:r>
      </w:hyperlink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Фінансово-економічне обґрунтування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" w:name="n1714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Pr="00055847">
        <w:rPr>
          <w:rFonts w:ascii="Times New Roman" w:hAnsi="Times New Roman"/>
          <w:sz w:val="28"/>
          <w:szCs w:val="28"/>
          <w:lang w:val="uk-UA"/>
        </w:rPr>
        <w:t xml:space="preserve">проекту акта не потребує додаткових витрат </w:t>
      </w:r>
      <w:r w:rsidR="00ED696C">
        <w:rPr>
          <w:rFonts w:ascii="Times New Roman" w:hAnsi="Times New Roman"/>
          <w:sz w:val="28"/>
          <w:szCs w:val="28"/>
          <w:lang w:val="uk-UA"/>
        </w:rPr>
        <w:t>і</w:t>
      </w:r>
      <w:r w:rsidRPr="00055847">
        <w:rPr>
          <w:rFonts w:ascii="Times New Roman" w:hAnsi="Times New Roman"/>
          <w:sz w:val="28"/>
          <w:szCs w:val="28"/>
          <w:lang w:val="uk-UA"/>
        </w:rPr>
        <w:t>з державного та місцевого бюджетів</w:t>
      </w:r>
      <w:r w:rsidRPr="0005584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558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Прогноз впливу</w:t>
      </w:r>
    </w:p>
    <w:p w:rsidR="008A121B" w:rsidRDefault="00F17B35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Прийняття та реалізація постанови сприятиме </w:t>
      </w:r>
      <w:r w:rsidR="008A121B" w:rsidRP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8A121B" w:rsidRP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 та інтересів суб’єктів господарювання, громадян і держави</w:t>
      </w:r>
      <w:r w:rsid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558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 Позиція заінтересованих сторін</w:t>
      </w:r>
    </w:p>
    <w:p w:rsidR="003A46B9" w:rsidRDefault="003A46B9" w:rsidP="00062AFA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  <w:bookmarkStart w:id="3" w:name="n1727"/>
      <w:bookmarkEnd w:id="3"/>
      <w:r w:rsidRPr="00055847">
        <w:rPr>
          <w:sz w:val="28"/>
          <w:szCs w:val="28"/>
          <w:lang w:eastAsia="uk-UA"/>
        </w:rPr>
        <w:t>Проект акта не стосується соціально-трудової</w:t>
      </w:r>
      <w:r>
        <w:rPr>
          <w:sz w:val="28"/>
          <w:szCs w:val="28"/>
          <w:lang w:eastAsia="uk-UA"/>
        </w:rPr>
        <w:t xml:space="preserve"> сфери.</w:t>
      </w:r>
    </w:p>
    <w:p w:rsidR="003A46B9" w:rsidRDefault="003A46B9" w:rsidP="00062AFA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Pr="00CA3752">
        <w:rPr>
          <w:sz w:val="28"/>
          <w:szCs w:val="28"/>
          <w:lang w:eastAsia="uk-UA"/>
        </w:rPr>
        <w:t>роект</w:t>
      </w:r>
      <w:r>
        <w:rPr>
          <w:sz w:val="28"/>
          <w:szCs w:val="28"/>
          <w:lang w:eastAsia="uk-UA"/>
        </w:rPr>
        <w:t>акта</w:t>
      </w:r>
      <w:r w:rsidRPr="00CA3752">
        <w:rPr>
          <w:sz w:val="28"/>
          <w:szCs w:val="28"/>
          <w:lang w:eastAsia="uk-UA"/>
        </w:rPr>
        <w:t>не стосується питання розвитку адміністративно-територіальних одиниць</w:t>
      </w:r>
      <w:r>
        <w:rPr>
          <w:sz w:val="28"/>
          <w:szCs w:val="28"/>
          <w:lang w:eastAsia="uk-UA"/>
        </w:rPr>
        <w:t xml:space="preserve"> та не вирішує концептуальні проблеми розвитку регіонів, а тому не потребує погодження з органами місцевого самоврядування</w:t>
      </w:r>
      <w:r w:rsidRPr="00CA3752">
        <w:rPr>
          <w:sz w:val="28"/>
          <w:szCs w:val="28"/>
          <w:lang w:eastAsia="uk-UA"/>
        </w:rPr>
        <w:t>.</w:t>
      </w:r>
    </w:p>
    <w:p w:rsidR="003A46B9" w:rsidRPr="00CA3752" w:rsidRDefault="003A46B9" w:rsidP="00062AFA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Проект акта не надсилався на розгляд Наукового комітету Національної ради України з питань розвитку науки і технологій, оскільки він не стосується наукової та науково-технічної діяльності. </w:t>
      </w:r>
    </w:p>
    <w:p w:rsidR="003A46B9" w:rsidRDefault="003A46B9" w:rsidP="00062AFA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" w:name="n1734"/>
      <w:bookmarkEnd w:id="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 Громадське обговорення</w:t>
      </w:r>
    </w:p>
    <w:p w:rsidR="003A46B9" w:rsidRPr="00DB1E6F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5" w:name="n1735"/>
      <w:bookmarkEnd w:id="5"/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забезпечення громадського обговорення проект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розміщено на офіційному веб-сайті Міністерства внутрішніх справ України.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6" w:name="n1737"/>
      <w:bookmarkEnd w:id="6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 Позиція заінтересованих органів</w:t>
      </w:r>
    </w:p>
    <w:p w:rsidR="003A46B9" w:rsidRPr="007C789B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потребує погодження з Міністерством фінансів України, Міністерством економічного розвитку і торгівлі України, Державною регуляторною службою</w:t>
      </w:r>
      <w:r w:rsidR="000558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7" w:name="n1738"/>
      <w:bookmarkStart w:id="8" w:name="n1741"/>
      <w:bookmarkEnd w:id="7"/>
      <w:bookmarkEnd w:id="8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 Правова експертиза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9" w:name="n1742"/>
      <w:bookmarkEnd w:id="9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акта буде надіслано до Міністерства юстиції України для проведення правової експертизи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0" w:name="n1743"/>
      <w:bookmarkEnd w:id="10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 Запобігання дискримінації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1" w:name="n1744"/>
      <w:bookmarkEnd w:id="11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акта не містить положень, які мають ознаки дискримінації.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Громадська антидискримінаційна експертиза не проводилася.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2" w:name="n1745"/>
      <w:bookmarkEnd w:id="12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 Запобігання корупції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3" w:name="n1746"/>
      <w:bookmarkEnd w:id="13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п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іактавідсутні 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процедур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містити ризики вчинення корупційних правопорушень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правопорушень, пов’язаних </w:t>
      </w:r>
      <w:r w:rsidR="00ED696C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корупцією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Громадська антикорупційна експертиза не проводилася.</w:t>
      </w:r>
    </w:p>
    <w:p w:rsidR="003A46B9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4" w:name="n1747"/>
      <w:bookmarkEnd w:id="1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13. Прогноз результатів</w:t>
      </w:r>
    </w:p>
    <w:p w:rsidR="003A46B9" w:rsidRPr="00820283" w:rsidRDefault="003A46B9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20283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Прийняття постанови </w:t>
      </w:r>
      <w:r w:rsidRPr="00820283">
        <w:rPr>
          <w:rFonts w:ascii="Times New Roman" w:hAnsi="Times New Roman"/>
          <w:sz w:val="28"/>
          <w:szCs w:val="28"/>
          <w:lang w:val="uk-UA"/>
        </w:rPr>
        <w:t>сприятиме</w:t>
      </w:r>
      <w:r>
        <w:rPr>
          <w:rFonts w:ascii="Times New Roman" w:hAnsi="Times New Roman"/>
          <w:sz w:val="28"/>
          <w:szCs w:val="28"/>
          <w:lang w:val="uk-UA"/>
        </w:rPr>
        <w:t xml:space="preserve"> вдосконаленню положень Ліцензійних умов провадження господарської діяльності з</w:t>
      </w:r>
      <w:hyperlink r:id="rId8" w:anchor="n8" w:tgtFrame="_blank" w:history="1">
        <w:r w:rsidRPr="009830D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шляхом виключення можливості подвійного трактування </w:t>
      </w:r>
      <w:r w:rsidR="00775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необхідності пред’явлення дозволу на придбання зброї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E70E6" w:rsidRDefault="00BE70E6" w:rsidP="00062AFA">
      <w:pPr>
        <w:tabs>
          <w:tab w:val="left" w:pos="8222"/>
        </w:tabs>
        <w:spacing w:after="0" w:line="240" w:lineRule="auto"/>
        <w:ind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062AFA" w:rsidRPr="00B86522" w:rsidRDefault="00062AFA" w:rsidP="00062AFA">
      <w:pPr>
        <w:tabs>
          <w:tab w:val="left" w:pos="8222"/>
        </w:tabs>
        <w:spacing w:after="0" w:line="240" w:lineRule="auto"/>
        <w:ind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5E7381" w:rsidRDefault="005E7381" w:rsidP="00062AF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E7381" w:rsidRDefault="00455109" w:rsidP="00062AF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Міністр </w:t>
      </w:r>
    </w:p>
    <w:p w:rsidR="005E7381" w:rsidRDefault="00455109" w:rsidP="00062AF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внутрішніх справ України                                                    </w:t>
      </w:r>
    </w:p>
    <w:p w:rsidR="00455109" w:rsidRPr="005E7381" w:rsidRDefault="00455109" w:rsidP="00062AF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</w:t>
      </w:r>
      <w:r w:rsidR="00ED6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рсен</w:t>
      </w: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Аваков</w:t>
      </w:r>
    </w:p>
    <w:p w:rsidR="00455109" w:rsidRPr="00B86522" w:rsidRDefault="00455109" w:rsidP="00062AFA">
      <w:pPr>
        <w:tabs>
          <w:tab w:val="left" w:pos="82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18CA" w:rsidRPr="00B86522" w:rsidRDefault="00062AFA" w:rsidP="00062AFA">
      <w:pPr>
        <w:tabs>
          <w:tab w:val="left" w:pos="82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</w:t>
      </w:r>
      <w:r w:rsidR="00ED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2018</w:t>
      </w:r>
      <w:r w:rsidR="00ED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</w:t>
      </w:r>
    </w:p>
    <w:sectPr w:rsidR="001C18CA" w:rsidRPr="00B86522" w:rsidSect="003A46B9">
      <w:headerReference w:type="default" r:id="rId9"/>
      <w:pgSz w:w="11906" w:h="16838"/>
      <w:pgMar w:top="568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1D" w:rsidRDefault="008A051D" w:rsidP="009A798F">
      <w:pPr>
        <w:spacing w:after="0" w:line="240" w:lineRule="auto"/>
      </w:pPr>
      <w:r>
        <w:separator/>
      </w:r>
    </w:p>
  </w:endnote>
  <w:endnote w:type="continuationSeparator" w:id="1">
    <w:p w:rsidR="008A051D" w:rsidRDefault="008A051D" w:rsidP="009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1D" w:rsidRDefault="008A051D" w:rsidP="009A798F">
      <w:pPr>
        <w:spacing w:after="0" w:line="240" w:lineRule="auto"/>
      </w:pPr>
      <w:r>
        <w:separator/>
      </w:r>
    </w:p>
  </w:footnote>
  <w:footnote w:type="continuationSeparator" w:id="1">
    <w:p w:rsidR="008A051D" w:rsidRDefault="008A051D" w:rsidP="009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144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34A" w:rsidRDefault="0036497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73E9" w:rsidRPr="00987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38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873E9" w:rsidRPr="009873E9" w:rsidRDefault="0036497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7B99"/>
    <w:rsid w:val="000072AF"/>
    <w:rsid w:val="000144D0"/>
    <w:rsid w:val="00016CB6"/>
    <w:rsid w:val="00017022"/>
    <w:rsid w:val="00027871"/>
    <w:rsid w:val="00037FF1"/>
    <w:rsid w:val="00055847"/>
    <w:rsid w:val="000614FB"/>
    <w:rsid w:val="00062AFA"/>
    <w:rsid w:val="00064E3B"/>
    <w:rsid w:val="00074109"/>
    <w:rsid w:val="000819F2"/>
    <w:rsid w:val="000C2155"/>
    <w:rsid w:val="000D22C2"/>
    <w:rsid w:val="000D782D"/>
    <w:rsid w:val="000E032D"/>
    <w:rsid w:val="00107DE6"/>
    <w:rsid w:val="001265CE"/>
    <w:rsid w:val="00133428"/>
    <w:rsid w:val="00136B22"/>
    <w:rsid w:val="00157FE8"/>
    <w:rsid w:val="001812D6"/>
    <w:rsid w:val="0019043A"/>
    <w:rsid w:val="001C18CA"/>
    <w:rsid w:val="001D0BE8"/>
    <w:rsid w:val="001D1AA2"/>
    <w:rsid w:val="001E05C1"/>
    <w:rsid w:val="001E3D5F"/>
    <w:rsid w:val="00203BB1"/>
    <w:rsid w:val="00227036"/>
    <w:rsid w:val="0023752C"/>
    <w:rsid w:val="002573C5"/>
    <w:rsid w:val="002761B7"/>
    <w:rsid w:val="00280830"/>
    <w:rsid w:val="002845CE"/>
    <w:rsid w:val="002B50D7"/>
    <w:rsid w:val="00304AF5"/>
    <w:rsid w:val="003228AD"/>
    <w:rsid w:val="0033535A"/>
    <w:rsid w:val="00342E0C"/>
    <w:rsid w:val="00356720"/>
    <w:rsid w:val="0036497A"/>
    <w:rsid w:val="0037139D"/>
    <w:rsid w:val="0039499F"/>
    <w:rsid w:val="003A46B9"/>
    <w:rsid w:val="003B2FDA"/>
    <w:rsid w:val="003C08E5"/>
    <w:rsid w:val="003D4264"/>
    <w:rsid w:val="003D72C2"/>
    <w:rsid w:val="003E07F4"/>
    <w:rsid w:val="003E1834"/>
    <w:rsid w:val="003F361C"/>
    <w:rsid w:val="00413B64"/>
    <w:rsid w:val="00420D5B"/>
    <w:rsid w:val="004352AC"/>
    <w:rsid w:val="00447CD2"/>
    <w:rsid w:val="0045448F"/>
    <w:rsid w:val="00455109"/>
    <w:rsid w:val="00470268"/>
    <w:rsid w:val="00473B39"/>
    <w:rsid w:val="004741D6"/>
    <w:rsid w:val="0047776E"/>
    <w:rsid w:val="00485DDD"/>
    <w:rsid w:val="004860CB"/>
    <w:rsid w:val="00495749"/>
    <w:rsid w:val="004B7052"/>
    <w:rsid w:val="004C6A42"/>
    <w:rsid w:val="00532B8F"/>
    <w:rsid w:val="005413C7"/>
    <w:rsid w:val="00562010"/>
    <w:rsid w:val="005705E4"/>
    <w:rsid w:val="005A260A"/>
    <w:rsid w:val="005A67C7"/>
    <w:rsid w:val="005B25F0"/>
    <w:rsid w:val="005B37E7"/>
    <w:rsid w:val="005B5302"/>
    <w:rsid w:val="005B5C51"/>
    <w:rsid w:val="005C6B87"/>
    <w:rsid w:val="005D53C1"/>
    <w:rsid w:val="005E4235"/>
    <w:rsid w:val="005E7381"/>
    <w:rsid w:val="00612486"/>
    <w:rsid w:val="00623114"/>
    <w:rsid w:val="00626F63"/>
    <w:rsid w:val="006772DF"/>
    <w:rsid w:val="00681DE7"/>
    <w:rsid w:val="00696D32"/>
    <w:rsid w:val="006A3FD4"/>
    <w:rsid w:val="006A6AD0"/>
    <w:rsid w:val="006D00C6"/>
    <w:rsid w:val="006D2787"/>
    <w:rsid w:val="006D6230"/>
    <w:rsid w:val="006D6D4B"/>
    <w:rsid w:val="006F10ED"/>
    <w:rsid w:val="006F1120"/>
    <w:rsid w:val="006F1FA3"/>
    <w:rsid w:val="0070046D"/>
    <w:rsid w:val="00710C8D"/>
    <w:rsid w:val="00732F21"/>
    <w:rsid w:val="007445BF"/>
    <w:rsid w:val="00773B92"/>
    <w:rsid w:val="00775564"/>
    <w:rsid w:val="007959D7"/>
    <w:rsid w:val="007A4D3F"/>
    <w:rsid w:val="007D70EB"/>
    <w:rsid w:val="007E689E"/>
    <w:rsid w:val="007F3666"/>
    <w:rsid w:val="007F4CF5"/>
    <w:rsid w:val="00800D5B"/>
    <w:rsid w:val="0081113E"/>
    <w:rsid w:val="00814C25"/>
    <w:rsid w:val="00821FD8"/>
    <w:rsid w:val="00832D47"/>
    <w:rsid w:val="008336C8"/>
    <w:rsid w:val="00834A2B"/>
    <w:rsid w:val="00834F32"/>
    <w:rsid w:val="008505B1"/>
    <w:rsid w:val="00851468"/>
    <w:rsid w:val="00851820"/>
    <w:rsid w:val="00857FA7"/>
    <w:rsid w:val="008657A6"/>
    <w:rsid w:val="00895B72"/>
    <w:rsid w:val="008A0285"/>
    <w:rsid w:val="008A051D"/>
    <w:rsid w:val="008A121B"/>
    <w:rsid w:val="008A3640"/>
    <w:rsid w:val="008A51D1"/>
    <w:rsid w:val="008B1915"/>
    <w:rsid w:val="008C4955"/>
    <w:rsid w:val="008E1E6C"/>
    <w:rsid w:val="008F1157"/>
    <w:rsid w:val="009720B0"/>
    <w:rsid w:val="009802A7"/>
    <w:rsid w:val="009873E9"/>
    <w:rsid w:val="009A798F"/>
    <w:rsid w:val="009D36DA"/>
    <w:rsid w:val="009E7E64"/>
    <w:rsid w:val="009F20C6"/>
    <w:rsid w:val="00A03FC5"/>
    <w:rsid w:val="00A05FF9"/>
    <w:rsid w:val="00A13100"/>
    <w:rsid w:val="00A46B8F"/>
    <w:rsid w:val="00A53CF0"/>
    <w:rsid w:val="00A60435"/>
    <w:rsid w:val="00A67B69"/>
    <w:rsid w:val="00A70757"/>
    <w:rsid w:val="00A85C73"/>
    <w:rsid w:val="00AA5B8F"/>
    <w:rsid w:val="00AB7137"/>
    <w:rsid w:val="00AD07C9"/>
    <w:rsid w:val="00AD21D1"/>
    <w:rsid w:val="00AD4B31"/>
    <w:rsid w:val="00AD736B"/>
    <w:rsid w:val="00AE1129"/>
    <w:rsid w:val="00AE1B37"/>
    <w:rsid w:val="00AF2A26"/>
    <w:rsid w:val="00AF3232"/>
    <w:rsid w:val="00B07B29"/>
    <w:rsid w:val="00B23672"/>
    <w:rsid w:val="00B359BB"/>
    <w:rsid w:val="00B61091"/>
    <w:rsid w:val="00B74DE2"/>
    <w:rsid w:val="00B86522"/>
    <w:rsid w:val="00B9234A"/>
    <w:rsid w:val="00BB4A9C"/>
    <w:rsid w:val="00BC40B3"/>
    <w:rsid w:val="00BD621A"/>
    <w:rsid w:val="00BE70E6"/>
    <w:rsid w:val="00BF7BE7"/>
    <w:rsid w:val="00C14DF9"/>
    <w:rsid w:val="00C40C85"/>
    <w:rsid w:val="00C4510F"/>
    <w:rsid w:val="00C52572"/>
    <w:rsid w:val="00C87EE9"/>
    <w:rsid w:val="00C923A3"/>
    <w:rsid w:val="00CA195D"/>
    <w:rsid w:val="00CA43C2"/>
    <w:rsid w:val="00CC5F9D"/>
    <w:rsid w:val="00CE378A"/>
    <w:rsid w:val="00CE4A17"/>
    <w:rsid w:val="00CE67A1"/>
    <w:rsid w:val="00D040B1"/>
    <w:rsid w:val="00D06CBD"/>
    <w:rsid w:val="00D17331"/>
    <w:rsid w:val="00D328D4"/>
    <w:rsid w:val="00D34875"/>
    <w:rsid w:val="00D45480"/>
    <w:rsid w:val="00D47FD2"/>
    <w:rsid w:val="00D56A01"/>
    <w:rsid w:val="00D56C17"/>
    <w:rsid w:val="00D63169"/>
    <w:rsid w:val="00D65363"/>
    <w:rsid w:val="00D87B7D"/>
    <w:rsid w:val="00DA5DBF"/>
    <w:rsid w:val="00DB1E6F"/>
    <w:rsid w:val="00DC53CA"/>
    <w:rsid w:val="00E010D4"/>
    <w:rsid w:val="00E135D9"/>
    <w:rsid w:val="00E229E6"/>
    <w:rsid w:val="00E263C9"/>
    <w:rsid w:val="00E806AF"/>
    <w:rsid w:val="00E85573"/>
    <w:rsid w:val="00E87B99"/>
    <w:rsid w:val="00EA0F3C"/>
    <w:rsid w:val="00EB6954"/>
    <w:rsid w:val="00EB7E87"/>
    <w:rsid w:val="00EC3BD0"/>
    <w:rsid w:val="00ED0A30"/>
    <w:rsid w:val="00ED2FA8"/>
    <w:rsid w:val="00ED59CB"/>
    <w:rsid w:val="00ED696C"/>
    <w:rsid w:val="00F17B35"/>
    <w:rsid w:val="00F23142"/>
    <w:rsid w:val="00F43A68"/>
    <w:rsid w:val="00F45466"/>
    <w:rsid w:val="00F4696C"/>
    <w:rsid w:val="00F844B1"/>
    <w:rsid w:val="00F9668E"/>
    <w:rsid w:val="00F96C03"/>
    <w:rsid w:val="00FC6374"/>
    <w:rsid w:val="00FD2D99"/>
    <w:rsid w:val="00FD382C"/>
    <w:rsid w:val="00FD3CB4"/>
    <w:rsid w:val="00FE0219"/>
    <w:rsid w:val="00FE7AC4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8F"/>
  </w:style>
  <w:style w:type="paragraph" w:styleId="a5">
    <w:name w:val="footer"/>
    <w:basedOn w:val="a"/>
    <w:link w:val="a6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8F"/>
  </w:style>
  <w:style w:type="character" w:customStyle="1" w:styleId="rvts9">
    <w:name w:val="rvts9"/>
    <w:basedOn w:val="a0"/>
    <w:rsid w:val="00AD4B31"/>
  </w:style>
  <w:style w:type="character" w:customStyle="1" w:styleId="rvts23">
    <w:name w:val="rvts23"/>
    <w:basedOn w:val="a0"/>
    <w:rsid w:val="00AD4B31"/>
  </w:style>
  <w:style w:type="paragraph" w:styleId="a7">
    <w:name w:val="Balloon Text"/>
    <w:basedOn w:val="a"/>
    <w:link w:val="a8"/>
    <w:uiPriority w:val="99"/>
    <w:semiHidden/>
    <w:unhideWhenUsed/>
    <w:rsid w:val="00E8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573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rsid w:val="0019043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44">
    <w:name w:val="rvts44"/>
    <w:basedOn w:val="a0"/>
    <w:rsid w:val="005B5302"/>
  </w:style>
  <w:style w:type="paragraph" w:styleId="HTML">
    <w:name w:val="HTML Preformatted"/>
    <w:basedOn w:val="a"/>
    <w:link w:val="HTML0"/>
    <w:rsid w:val="00C8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E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1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uiPriority w:val="99"/>
    <w:unhideWhenUsed/>
    <w:rsid w:val="001265C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A46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3A46B9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00-2015-%D0%BF/para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506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FEAA-DC3F-41F0-B342-918EFFF9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5459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Озадовский</cp:lastModifiedBy>
  <cp:revision>16</cp:revision>
  <cp:lastPrinted>2018-09-28T08:47:00Z</cp:lastPrinted>
  <dcterms:created xsi:type="dcterms:W3CDTF">2018-09-27T12:06:00Z</dcterms:created>
  <dcterms:modified xsi:type="dcterms:W3CDTF">2018-10-01T17:14:00Z</dcterms:modified>
</cp:coreProperties>
</file>