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5" w:rsidRPr="003A3F03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A3F03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3A3F03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3A3F03">
        <w:rPr>
          <w:rFonts w:ascii="Times New Roman" w:hAnsi="Times New Roman"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A23D6F" w:rsidRPr="003A3F03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A3F03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</w:t>
      </w:r>
    </w:p>
    <w:p w:rsidR="00494435" w:rsidRPr="003A3F03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A3F03">
        <w:rPr>
          <w:rFonts w:ascii="Times New Roman" w:hAnsi="Times New Roman"/>
          <w:color w:val="000000" w:themeColor="text1"/>
          <w:sz w:val="28"/>
          <w:szCs w:val="28"/>
        </w:rPr>
        <w:t>провадження охоронної діяльності»</w:t>
      </w:r>
    </w:p>
    <w:p w:rsidR="00494435" w:rsidRPr="003A3F03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5C4BFF" w:rsidRPr="003A3F03" w:rsidRDefault="00CC0A53" w:rsidP="000A60B8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uk-UA"/>
        </w:rPr>
        <w:t>І</w:t>
      </w:r>
      <w:r w:rsidR="00494435" w:rsidRPr="003A3F03">
        <w:rPr>
          <w:b/>
          <w:color w:val="auto"/>
          <w:sz w:val="28"/>
          <w:szCs w:val="28"/>
          <w:lang w:val="uk-UA"/>
        </w:rPr>
        <w:t>. Визначення проблеми</w:t>
      </w:r>
    </w:p>
    <w:p w:rsidR="00337DA1" w:rsidRPr="003A3F03" w:rsidRDefault="00E16319" w:rsidP="00A23D6F">
      <w:pPr>
        <w:pStyle w:val="aa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F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D2498" w:rsidRPr="003A3F03">
        <w:rPr>
          <w:rFonts w:ascii="Times New Roman" w:hAnsi="Times New Roman" w:cs="Times New Roman"/>
          <w:color w:val="000000"/>
          <w:sz w:val="28"/>
          <w:szCs w:val="28"/>
        </w:rPr>
        <w:t xml:space="preserve">а сьогодні </w:t>
      </w:r>
      <w:r w:rsidR="00FD2498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Ліцензійн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FD2498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498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провадження охоронної діяльності, </w:t>
      </w:r>
      <w:r w:rsid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</w:t>
      </w:r>
      <w:r w:rsidR="00D063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постановою Кабінету Міністрів України </w:t>
      </w:r>
      <w:r w:rsidR="00C04C6D" w:rsidRPr="003A3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18 листопада 2015 року № 960 (далі – Ліцензійні умови</w:t>
      </w:r>
      <w:r w:rsidR="00A23D6F" w:rsidRPr="003A3F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D063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містять 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C04C6D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суперечать нормам </w:t>
      </w:r>
      <w:r w:rsidR="00337DA1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окремих законодавчих актів України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, а також потребують перегляду з метою врегулювання спірних питань, що виникають (можуть виникати) під час провадження</w:t>
      </w:r>
      <w:r w:rsidR="00A23D6F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зазначеного 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A23D6F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господарської діяльності та </w:t>
      </w:r>
      <w:r w:rsidR="003F39FB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приводу </w:t>
      </w:r>
      <w:r w:rsidR="00694156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 заходів державного нагляду (контролю)</w:t>
      </w:r>
      <w:r w:rsidR="00337DA1" w:rsidRPr="003A3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319" w:rsidRPr="00D06353" w:rsidRDefault="00E16319" w:rsidP="00337DA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З метою приведення Ліцензійних умов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відповідність до вимог чинного законодавства </w:t>
      </w:r>
      <w:r w:rsidR="00727820" w:rsidRPr="00D06353">
        <w:rPr>
          <w:rFonts w:ascii="Times New Roman" w:hAnsi="Times New Roman" w:cs="Times New Roman"/>
          <w:sz w:val="28"/>
          <w:szCs w:val="28"/>
        </w:rPr>
        <w:t xml:space="preserve">України з урахуванням останніх змін </w:t>
      </w:r>
      <w:r w:rsidR="00F96344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постанови 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пропонується:</w:t>
      </w:r>
    </w:p>
    <w:p w:rsidR="00473EFE" w:rsidRDefault="00E16319" w:rsidP="00337DA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32C2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</w:t>
      </w:r>
      <w:r w:rsidR="004C5CF4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 w:rsidR="003F32C2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C5CF4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 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від 23 березня 2017 року № 1982-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CF4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 внесення змін до деяких законодавчих актів України щодо використання печаток юридичними особами та фізичними-особами підприємцями»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регуляторн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виключ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ити 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</w:t>
      </w:r>
      <w:r w:rsidR="00473EFE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обов’язкового використання печаток (незалежно від їх наявності у суб’єктів господарювання)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5660" w:rsidRDefault="000C5660" w:rsidP="000C566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5782">
        <w:rPr>
          <w:rFonts w:ascii="Times New Roman" w:hAnsi="Times New Roman"/>
          <w:color w:val="000000" w:themeColor="text1"/>
          <w:sz w:val="28"/>
          <w:szCs w:val="28"/>
        </w:rPr>
        <w:t xml:space="preserve">ідповідно до пункту 3 частини дев’ятої статті 9 Закону України «Про ліцензування видів господарської діяльності» пропонується доповнити пункт 7 Ліцензійних умовах новим підпунктом, яким визначити порядок дій ліцензіата у разі планового або позапланового припинення </w:t>
      </w:r>
      <w:r w:rsidRPr="00CA5782">
        <w:rPr>
          <w:rFonts w:ascii="Times New Roman" w:hAnsi="Times New Roman"/>
          <w:color w:val="000000"/>
          <w:sz w:val="28"/>
          <w:szCs w:val="28"/>
        </w:rPr>
        <w:t>(у зв’язку з неможливістю використання матеріально-технічної бази, виникненням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782">
        <w:rPr>
          <w:rFonts w:ascii="Times New Roman" w:hAnsi="Times New Roman"/>
          <w:color w:val="000000"/>
          <w:sz w:val="28"/>
          <w:szCs w:val="28"/>
        </w:rPr>
        <w:t>форс-мажорних обставин тощо) п</w:t>
      </w:r>
      <w:r>
        <w:rPr>
          <w:rFonts w:ascii="Times New Roman" w:hAnsi="Times New Roman"/>
          <w:color w:val="000000"/>
          <w:sz w:val="28"/>
          <w:szCs w:val="28"/>
        </w:rPr>
        <w:t>ровадження охоронної діяльності;</w:t>
      </w:r>
    </w:p>
    <w:p w:rsidR="00D06353" w:rsidRPr="00D06353" w:rsidRDefault="00F427F8" w:rsidP="00337DA1">
      <w:pPr>
        <w:pStyle w:val="aa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наявністю в </w:t>
      </w:r>
      <w:r w:rsidR="00994EC9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чинн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994EC9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зразк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отримання ліцензі</w:t>
      </w:r>
      <w:r w:rsidR="00727820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994EC9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інформації</w:t>
      </w:r>
      <w:r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="00994EC9" w:rsidRPr="00D0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передбачена </w:t>
      </w:r>
      <w:r w:rsidR="00994EC9" w:rsidRPr="00D063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статтею 11 Закону України «Про ліцензування видів господарської діяльності», викласти ї</w:t>
      </w:r>
      <w:r w:rsidR="00727820" w:rsidRPr="00D063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ї </w:t>
      </w:r>
      <w:r w:rsidR="00994EC9" w:rsidRPr="00D063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новій редакції</w:t>
      </w:r>
      <w:r w:rsidR="00D06353" w:rsidRPr="00D063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06353" w:rsidRDefault="00D06353" w:rsidP="00D063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6353">
        <w:rPr>
          <w:rFonts w:ascii="Times New Roman" w:hAnsi="Times New Roman"/>
          <w:color w:val="000000" w:themeColor="text1"/>
          <w:sz w:val="28"/>
          <w:szCs w:val="28"/>
        </w:rPr>
        <w:t xml:space="preserve">на виконання </w:t>
      </w:r>
      <w:r w:rsidRPr="00D06353">
        <w:rPr>
          <w:rStyle w:val="rvts2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</w:t>
      </w:r>
      <w:hyperlink r:id="rId8" w:tgtFrame="_blank" w:history="1">
        <w:r w:rsidRPr="00D06353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Конвенції ООН про права осіб з інвалідністю</w:t>
        </w:r>
      </w:hyperlink>
      <w:r w:rsidRPr="00D06353">
        <w:rPr>
          <w:rStyle w:val="rvts23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 на період до 2020 року, затвердженого </w:t>
      </w:r>
      <w:r w:rsidRPr="00D06353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розпорядженням Кабінету Міністрів України від 28 грудня 2016 року № 1073-р,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540C">
        <w:rPr>
          <w:rFonts w:ascii="Times New Roman" w:hAnsi="Times New Roman"/>
          <w:color w:val="000000" w:themeColor="text1"/>
          <w:sz w:val="28"/>
          <w:szCs w:val="28"/>
        </w:rPr>
        <w:t xml:space="preserve">встановити вимогу щодо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забезпечення ліцензіатом доступності до приміщень, у яких здійснюється обслуговування клієнтів (споживачів послуг), для осіб з інвалідністю та інших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маломобільних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груп населення.</w:t>
      </w:r>
    </w:p>
    <w:p w:rsidR="006A08BB" w:rsidRPr="00EC435C" w:rsidRDefault="006A08BB" w:rsidP="006A08B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C80A4D">
        <w:rPr>
          <w:rFonts w:ascii="Times New Roman" w:hAnsi="Times New Roman"/>
          <w:sz w:val="28"/>
          <w:szCs w:val="28"/>
        </w:rPr>
        <w:t xml:space="preserve">Іншою проблемою, яку пропонується </w:t>
      </w:r>
      <w:r w:rsidR="000C5660">
        <w:rPr>
          <w:rFonts w:ascii="Times New Roman" w:hAnsi="Times New Roman"/>
          <w:sz w:val="28"/>
          <w:szCs w:val="28"/>
        </w:rPr>
        <w:t xml:space="preserve">врегулювати шляхом прийняття </w:t>
      </w:r>
      <w:r w:rsidRPr="00C80A4D">
        <w:rPr>
          <w:rFonts w:ascii="Times New Roman" w:hAnsi="Times New Roman"/>
          <w:sz w:val="28"/>
          <w:szCs w:val="28"/>
        </w:rPr>
        <w:t xml:space="preserve"> проект</w:t>
      </w:r>
      <w:r w:rsidR="000C5660">
        <w:rPr>
          <w:rFonts w:ascii="Times New Roman" w:hAnsi="Times New Roman"/>
          <w:sz w:val="28"/>
          <w:szCs w:val="28"/>
        </w:rPr>
        <w:t>у</w:t>
      </w:r>
      <w:r w:rsidRPr="00C80A4D">
        <w:rPr>
          <w:rFonts w:ascii="Times New Roman" w:hAnsi="Times New Roman"/>
          <w:sz w:val="28"/>
          <w:szCs w:val="28"/>
        </w:rPr>
        <w:t xml:space="preserve"> постанови, є</w:t>
      </w:r>
      <w:r>
        <w:rPr>
          <w:rFonts w:ascii="Times New Roman" w:hAnsi="Times New Roman"/>
          <w:sz w:val="28"/>
          <w:szCs w:val="28"/>
        </w:rPr>
        <w:t xml:space="preserve"> забезпечення виконання вимог статті 5 Закону України «Про основні засади державного нагляду (контролю) у сфері господарської діяльності» у частині щорічного визначення органами державного нагляду (контролю) 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переліку суб’єктів господарювання, які підлягають плановим заходам державного нагляду (контролю) у плановому періоді, та не пізніше 15 жовтня року, що передує плановому, внес</w:t>
      </w:r>
      <w:r w:rsidR="000C56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ення 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відомостей про таких суб’єктів господарювання до інтегрованої автоматизованої системи державного нагляду 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(контролю) для автоматичного виявлення нею суб’єктів господарювання, які підлягають комплексним плановим заходам державного нагляду (контролю).</w:t>
      </w:r>
      <w:r w:rsidRPr="00EC435C">
        <w:rPr>
          <w:rFonts w:ascii="Times New Roman" w:hAnsi="Times New Roman"/>
          <w:sz w:val="28"/>
          <w:szCs w:val="28"/>
        </w:rPr>
        <w:t xml:space="preserve">   </w:t>
      </w:r>
    </w:p>
    <w:p w:rsidR="006A08BB" w:rsidRDefault="006A08BB" w:rsidP="006A08BB">
      <w:pPr>
        <w:pStyle w:val="aa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 метою </w:t>
      </w:r>
      <w:r w:rsidR="000C56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вирішення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зазначеного питання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пропонується пункт 6 Ліцензійних умов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після підпункту 2 доповнити новим підпунктом 3, який передбачатиме подання до заяви про отримання ліцензії, крім іншого, відомостей про засоби провадження охоронної діяльності (відомостей про наявність спеціальних засобів та відомостей про наявність </w:t>
      </w:r>
      <w:r w:rsidRPr="004D25A5">
        <w:rPr>
          <w:rFonts w:ascii="Times New Roman" w:hAnsi="Times New Roman" w:cs="Times New Roman"/>
          <w:sz w:val="28"/>
          <w:szCs w:val="28"/>
        </w:rPr>
        <w:t>транспорту реагування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разі їх наявності</w:t>
      </w:r>
      <w:r>
        <w:rPr>
          <w:rFonts w:ascii="Times New Roman" w:hAnsi="Times New Roman" w:cs="Times New Roman"/>
          <w:sz w:val="28"/>
          <w:szCs w:val="28"/>
        </w:rPr>
        <w:t xml:space="preserve">, а також внесення змін до абзацу другого підпункту 2 пункту 7 Ліцензійних умов, пов’язаних </w:t>
      </w:r>
      <w:r w:rsidRPr="001F1E8B">
        <w:rPr>
          <w:rFonts w:ascii="Times New Roman" w:hAnsi="Times New Roman"/>
          <w:color w:val="000000" w:themeColor="text1"/>
          <w:sz w:val="28"/>
          <w:szCs w:val="28"/>
        </w:rPr>
        <w:t>зі зміною терміну подання інформації щодо загальної кількості персоналу охорони з 15 грудня (станом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E8B">
        <w:rPr>
          <w:rFonts w:ascii="Times New Roman" w:hAnsi="Times New Roman"/>
          <w:color w:val="000000" w:themeColor="text1"/>
          <w:sz w:val="28"/>
          <w:szCs w:val="28"/>
        </w:rPr>
        <w:t xml:space="preserve">1 грудня)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1F1E8B">
        <w:rPr>
          <w:rFonts w:ascii="Times New Roman" w:hAnsi="Times New Roman"/>
          <w:color w:val="000000" w:themeColor="text1"/>
          <w:sz w:val="28"/>
          <w:szCs w:val="28"/>
        </w:rPr>
        <w:t>15 вересня (станом на 1 вересня)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>оскільки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Pr="000C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постанови Кабінету Міністрів України від </w:t>
      </w:r>
      <w:r w:rsidR="000C5660" w:rsidRPr="000C5660">
        <w:rPr>
          <w:rFonts w:ascii="Times New Roman" w:hAnsi="Times New Roman" w:cs="Times New Roman"/>
          <w:color w:val="000000" w:themeColor="text1"/>
          <w:sz w:val="28"/>
          <w:szCs w:val="28"/>
        </w:rPr>
        <w:t>10 жовтня 2018</w:t>
      </w:r>
      <w:r w:rsidRPr="000C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№ </w:t>
      </w:r>
      <w:r w:rsidR="000C5660">
        <w:rPr>
          <w:rFonts w:ascii="Times New Roman" w:hAnsi="Times New Roman" w:cs="Times New Roman"/>
          <w:color w:val="000000" w:themeColor="text1"/>
          <w:sz w:val="28"/>
          <w:szCs w:val="28"/>
        </w:rPr>
        <w:t>825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>зазначені відомості дають можливість о</w:t>
      </w:r>
      <w:r w:rsidRPr="00790AA4">
        <w:rPr>
          <w:rFonts w:ascii="Times New Roman" w:hAnsi="Times New Roman" w:cs="Times New Roman"/>
          <w:color w:val="000000" w:themeColor="text1"/>
          <w:sz w:val="28"/>
          <w:szCs w:val="28"/>
        </w:rPr>
        <w:t>цінити ступінь ризику ліцензіата від провадження ним охоронної діяльності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</w:t>
      </w:r>
      <w:r w:rsidRPr="00790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впливає на періодичність проведення планових заходів державного нагляду (контролю)</w:t>
      </w:r>
      <w:r w:rsidRPr="003C1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8BB" w:rsidRDefault="006A08BB" w:rsidP="006A08BB">
      <w:pPr>
        <w:pStyle w:val="aa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цьому слід зазначити, що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відповідно до пункту 1 частини дев’ятої статті 9 Закону України «Про ліцензування видів господарської діяльності» </w:t>
      </w:r>
      <w:r w:rsidRPr="00B054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B0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имоги ліцензійних умов до суб’єкта господарювання мають бути обумовлені особливостями провадження виду господарської діяльності, що підлягає ліцензуванню, та включають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зокрема,</w:t>
      </w:r>
      <w:r w:rsidRPr="00B0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вичерпний перелік підтвердних документів, що підтверджують відповідність суб’єкта господарювання вимогам ліцензійних умов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 яких належать і </w:t>
      </w:r>
      <w:r w:rsidRPr="00B0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B05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засоби провадження господарської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5654" w:rsidRPr="00D91A44" w:rsidRDefault="00225654" w:rsidP="005C4BFF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494435" w:rsidRPr="003A3F03" w:rsidRDefault="00494435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Основні групи (підгрупи), на які проблем</w:t>
      </w:r>
      <w:r w:rsidR="008C542B" w:rsidRPr="003A3F03">
        <w:rPr>
          <w:rFonts w:ascii="Times New Roman" w:hAnsi="Times New Roman"/>
          <w:sz w:val="28"/>
          <w:szCs w:val="28"/>
        </w:rPr>
        <w:t>и</w:t>
      </w:r>
      <w:r w:rsidRPr="003A3F03">
        <w:rPr>
          <w:rFonts w:ascii="Times New Roman" w:hAnsi="Times New Roman"/>
          <w:sz w:val="28"/>
          <w:szCs w:val="28"/>
        </w:rPr>
        <w:t xml:space="preserve"> справля</w:t>
      </w:r>
      <w:r w:rsidR="008C542B" w:rsidRPr="003A3F03">
        <w:rPr>
          <w:rFonts w:ascii="Times New Roman" w:hAnsi="Times New Roman"/>
          <w:sz w:val="28"/>
          <w:szCs w:val="28"/>
        </w:rPr>
        <w:t>ють</w:t>
      </w:r>
      <w:r w:rsidRPr="003A3F03">
        <w:rPr>
          <w:rFonts w:ascii="Times New Roman" w:hAnsi="Times New Roman"/>
          <w:sz w:val="28"/>
          <w:szCs w:val="28"/>
        </w:rPr>
        <w:t xml:space="preserve"> вплив:</w:t>
      </w:r>
    </w:p>
    <w:p w:rsidR="00460AC3" w:rsidRPr="00D91A44" w:rsidRDefault="00460AC3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171"/>
        <w:gridCol w:w="3154"/>
      </w:tblGrid>
      <w:tr w:rsidR="00460AC3" w:rsidRPr="003A3F03" w:rsidTr="00C0662A">
        <w:tc>
          <w:tcPr>
            <w:tcW w:w="3414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460AC3" w:rsidRPr="003A3F03" w:rsidTr="00C0662A">
        <w:tc>
          <w:tcPr>
            <w:tcW w:w="3414" w:type="dxa"/>
          </w:tcPr>
          <w:p w:rsidR="00460AC3" w:rsidRPr="003A3F0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460AC3" w:rsidRPr="003A3F03" w:rsidTr="00C0662A">
        <w:tc>
          <w:tcPr>
            <w:tcW w:w="3414" w:type="dxa"/>
          </w:tcPr>
          <w:p w:rsidR="00460AC3" w:rsidRPr="003A3F0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460AC3" w:rsidRPr="003A3F03" w:rsidTr="00C0662A">
        <w:tc>
          <w:tcPr>
            <w:tcW w:w="3414" w:type="dxa"/>
          </w:tcPr>
          <w:p w:rsidR="00460AC3" w:rsidRPr="003A3F0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460AC3" w:rsidRPr="003A3F03" w:rsidTr="00C0662A">
        <w:tc>
          <w:tcPr>
            <w:tcW w:w="3414" w:type="dxa"/>
          </w:tcPr>
          <w:p w:rsidR="00460AC3" w:rsidRPr="003A3F03" w:rsidRDefault="00460AC3" w:rsidP="00460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 тому числі на суб’єкти малого підприємництва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A3F03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415" w:type="dxa"/>
          </w:tcPr>
          <w:p w:rsidR="00460AC3" w:rsidRPr="003A3F03" w:rsidRDefault="00460AC3" w:rsidP="00460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460AC3" w:rsidRPr="00D91A44" w:rsidRDefault="00460AC3" w:rsidP="0049443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0AC3" w:rsidRPr="003A3F03" w:rsidRDefault="008C542B" w:rsidP="0046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П</w:t>
      </w:r>
      <w:r w:rsidR="00460AC3" w:rsidRPr="003A3F03">
        <w:rPr>
          <w:rFonts w:ascii="Times New Roman" w:hAnsi="Times New Roman"/>
          <w:sz w:val="28"/>
          <w:szCs w:val="28"/>
        </w:rPr>
        <w:t>роблем</w:t>
      </w:r>
      <w:r w:rsidRPr="003A3F03">
        <w:rPr>
          <w:rFonts w:ascii="Times New Roman" w:hAnsi="Times New Roman"/>
          <w:sz w:val="28"/>
          <w:szCs w:val="28"/>
        </w:rPr>
        <w:t xml:space="preserve">и, які пропонується врегулювати в результаті прийняття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>, н</w:t>
      </w:r>
      <w:r w:rsidR="00460AC3" w:rsidRPr="003A3F03">
        <w:rPr>
          <w:rFonts w:ascii="Times New Roman" w:hAnsi="Times New Roman"/>
          <w:sz w:val="28"/>
          <w:szCs w:val="28"/>
        </w:rPr>
        <w:t>е мож</w:t>
      </w:r>
      <w:r w:rsidRPr="003A3F03">
        <w:rPr>
          <w:rFonts w:ascii="Times New Roman" w:hAnsi="Times New Roman"/>
          <w:sz w:val="28"/>
          <w:szCs w:val="28"/>
        </w:rPr>
        <w:t>уть</w:t>
      </w:r>
      <w:r w:rsidR="00460AC3" w:rsidRPr="003A3F03">
        <w:rPr>
          <w:rFonts w:ascii="Times New Roman" w:hAnsi="Times New Roman"/>
          <w:sz w:val="28"/>
          <w:szCs w:val="28"/>
        </w:rPr>
        <w:t xml:space="preserve"> бути розв’язан</w:t>
      </w:r>
      <w:r w:rsidRPr="003A3F03">
        <w:rPr>
          <w:rFonts w:ascii="Times New Roman" w:hAnsi="Times New Roman"/>
          <w:sz w:val="28"/>
          <w:szCs w:val="28"/>
        </w:rPr>
        <w:t>і</w:t>
      </w:r>
      <w:r w:rsidR="00460AC3" w:rsidRPr="003A3F03">
        <w:rPr>
          <w:rFonts w:ascii="Times New Roman" w:hAnsi="Times New Roman"/>
          <w:sz w:val="28"/>
          <w:szCs w:val="28"/>
        </w:rPr>
        <w:t xml:space="preserve"> за допомогою ринкових механізмів, оскільки такі механізми відсутні, ї</w:t>
      </w:r>
      <w:r w:rsidRPr="003A3F03">
        <w:rPr>
          <w:rFonts w:ascii="Times New Roman" w:hAnsi="Times New Roman"/>
          <w:sz w:val="28"/>
          <w:szCs w:val="28"/>
        </w:rPr>
        <w:t>х</w:t>
      </w:r>
      <w:r w:rsidR="00460AC3" w:rsidRPr="003A3F03">
        <w:rPr>
          <w:rFonts w:ascii="Times New Roman" w:hAnsi="Times New Roman"/>
          <w:sz w:val="28"/>
          <w:szCs w:val="28"/>
        </w:rPr>
        <w:t xml:space="preserve"> можливо розв’язати лише шляхом державного регулювання.</w:t>
      </w:r>
    </w:p>
    <w:p w:rsidR="00460AC3" w:rsidRPr="003A3F03" w:rsidRDefault="00460AC3" w:rsidP="00CC0A5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4435" w:rsidRPr="003A3F03" w:rsidRDefault="00CC0A53" w:rsidP="000A60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F03">
        <w:rPr>
          <w:rFonts w:ascii="Times New Roman" w:hAnsi="Times New Roman"/>
          <w:b/>
          <w:sz w:val="28"/>
          <w:szCs w:val="28"/>
        </w:rPr>
        <w:t>ІІ</w:t>
      </w:r>
      <w:r w:rsidR="00494435" w:rsidRPr="003A3F03">
        <w:rPr>
          <w:rFonts w:ascii="Times New Roman" w:hAnsi="Times New Roman"/>
          <w:b/>
          <w:sz w:val="28"/>
          <w:szCs w:val="28"/>
        </w:rPr>
        <w:t xml:space="preserve">. Цілі державного регулювання </w:t>
      </w:r>
    </w:p>
    <w:p w:rsidR="00494435" w:rsidRPr="003A3F03" w:rsidRDefault="00494435" w:rsidP="00A731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Ціллю державного регулювання запропонованого регуляторного </w:t>
      </w:r>
      <w:proofErr w:type="spellStart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є:</w:t>
      </w:r>
    </w:p>
    <w:p w:rsidR="00494435" w:rsidRPr="003A3F03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приведення підзаконн</w:t>
      </w:r>
      <w:r w:rsidR="00A731C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</w:t>
      </w:r>
      <w:r w:rsidR="00A731C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proofErr w:type="spellStart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A731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відповідність до вимог </w:t>
      </w:r>
      <w:r w:rsidR="00382847"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чинного 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законодавства України</w:t>
      </w:r>
      <w:r w:rsidR="007E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292" w:rsidRPr="00D06353">
        <w:rPr>
          <w:rFonts w:ascii="Times New Roman" w:hAnsi="Times New Roman"/>
          <w:sz w:val="28"/>
          <w:szCs w:val="28"/>
        </w:rPr>
        <w:t xml:space="preserve">з урахуванням останніх </w:t>
      </w:r>
      <w:r w:rsidR="007E0292">
        <w:rPr>
          <w:rFonts w:ascii="Times New Roman" w:hAnsi="Times New Roman"/>
          <w:sz w:val="28"/>
          <w:szCs w:val="28"/>
        </w:rPr>
        <w:t xml:space="preserve">у ньому </w:t>
      </w:r>
      <w:r w:rsidR="007E0292" w:rsidRPr="00D06353">
        <w:rPr>
          <w:rFonts w:ascii="Times New Roman" w:hAnsi="Times New Roman"/>
          <w:sz w:val="28"/>
          <w:szCs w:val="28"/>
        </w:rPr>
        <w:t>змін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31CC" w:rsidRPr="007E0292" w:rsidRDefault="00EE06FF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292">
        <w:rPr>
          <w:rFonts w:ascii="Times New Roman" w:hAnsi="Times New Roman"/>
          <w:sz w:val="28"/>
          <w:szCs w:val="28"/>
        </w:rPr>
        <w:t xml:space="preserve">удосконалення, </w:t>
      </w:r>
      <w:r w:rsidR="00494435" w:rsidRPr="007E0292">
        <w:rPr>
          <w:rFonts w:ascii="Times New Roman" w:hAnsi="Times New Roman"/>
          <w:sz w:val="28"/>
          <w:szCs w:val="28"/>
        </w:rPr>
        <w:t>визначення</w:t>
      </w:r>
      <w:r w:rsidR="005D4768" w:rsidRPr="007E0292">
        <w:rPr>
          <w:rFonts w:ascii="Times New Roman" w:hAnsi="Times New Roman"/>
          <w:sz w:val="28"/>
          <w:szCs w:val="28"/>
        </w:rPr>
        <w:t xml:space="preserve"> чітких</w:t>
      </w:r>
      <w:r w:rsidR="00AA2907" w:rsidRPr="007E0292">
        <w:rPr>
          <w:rFonts w:ascii="Times New Roman" w:hAnsi="Times New Roman"/>
          <w:sz w:val="28"/>
          <w:szCs w:val="28"/>
        </w:rPr>
        <w:t xml:space="preserve">, </w:t>
      </w:r>
      <w:r w:rsidR="00CE7338" w:rsidRPr="007E0292">
        <w:rPr>
          <w:rFonts w:ascii="Times New Roman" w:hAnsi="Times New Roman"/>
          <w:sz w:val="28"/>
          <w:szCs w:val="28"/>
        </w:rPr>
        <w:t>зрозумілих та</w:t>
      </w:r>
      <w:r w:rsidR="005D4768" w:rsidRPr="007E0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 w:rsidRPr="007E0292">
        <w:rPr>
          <w:rFonts w:ascii="Times New Roman" w:hAnsi="Times New Roman"/>
          <w:sz w:val="28"/>
          <w:szCs w:val="28"/>
        </w:rPr>
        <w:t>однозначних</w:t>
      </w:r>
      <w:r w:rsidR="005D4768" w:rsidRPr="007E0292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 w:rsidRPr="007E0292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 w:rsidRPr="007E0292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 w:rsidRPr="007E0292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7E0292" w:rsidRPr="007E0292">
        <w:rPr>
          <w:rFonts w:ascii="Times New Roman" w:hAnsi="Times New Roman"/>
          <w:color w:val="000000"/>
          <w:sz w:val="28"/>
          <w:szCs w:val="28"/>
        </w:rPr>
        <w:t xml:space="preserve">окремих </w:t>
      </w:r>
      <w:r w:rsidR="00326E8D" w:rsidRPr="007E0292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="00494435" w:rsidRPr="007E0292">
        <w:rPr>
          <w:rFonts w:ascii="Times New Roman" w:hAnsi="Times New Roman"/>
          <w:sz w:val="28"/>
          <w:szCs w:val="28"/>
        </w:rPr>
        <w:t xml:space="preserve">провадження господарської діяльності у сфері охоронної діяльності; </w:t>
      </w:r>
    </w:p>
    <w:p w:rsidR="00494435" w:rsidRDefault="00B00C74" w:rsidP="007E02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02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врегулювання питання щодо</w:t>
      </w:r>
      <w:r w:rsidR="007E0292" w:rsidRPr="007E02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дотримання, </w:t>
      </w:r>
      <w:r w:rsidR="000D6F43" w:rsidRPr="007E02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забезпечення </w:t>
      </w:r>
      <w:r w:rsidR="007E0292" w:rsidRPr="007E02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 </w:t>
      </w:r>
      <w:r w:rsidRPr="007E0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реалізації </w:t>
      </w:r>
      <w:r w:rsidR="007E0292" w:rsidRPr="007E0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ліцензіатами </w:t>
      </w:r>
      <w:r w:rsidRPr="007E029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прав і свобод </w:t>
      </w:r>
      <w:r w:rsidR="007E0292" w:rsidRPr="007E0292">
        <w:rPr>
          <w:rFonts w:ascii="Times New Roman" w:hAnsi="Times New Roman"/>
          <w:color w:val="000000" w:themeColor="text1"/>
          <w:sz w:val="28"/>
          <w:szCs w:val="28"/>
        </w:rPr>
        <w:t xml:space="preserve">осіб з інвалідністю та інших </w:t>
      </w:r>
      <w:proofErr w:type="spellStart"/>
      <w:r w:rsidR="007E0292" w:rsidRPr="007E0292">
        <w:rPr>
          <w:rFonts w:ascii="Times New Roman" w:hAnsi="Times New Roman"/>
          <w:color w:val="000000" w:themeColor="text1"/>
          <w:sz w:val="28"/>
          <w:szCs w:val="28"/>
        </w:rPr>
        <w:t>маломобільних</w:t>
      </w:r>
      <w:proofErr w:type="spellEnd"/>
      <w:r w:rsidR="007E0292" w:rsidRPr="007E0292">
        <w:rPr>
          <w:rFonts w:ascii="Times New Roman" w:hAnsi="Times New Roman"/>
          <w:color w:val="000000" w:themeColor="text1"/>
          <w:sz w:val="28"/>
          <w:szCs w:val="28"/>
        </w:rPr>
        <w:t xml:space="preserve"> груп населення</w:t>
      </w:r>
      <w:r w:rsidR="007E02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0292" w:rsidRDefault="007E0292" w:rsidP="007E0292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E21E1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умов для об’єктивного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>оцін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ювання органом ліцензування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>ступ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еня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 xml:space="preserve">ризику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суб’єкта господарювання </w:t>
      </w:r>
      <w:r w:rsidRPr="00790AA4">
        <w:rPr>
          <w:rFonts w:ascii="Times New Roman" w:hAnsi="Times New Roman"/>
          <w:color w:val="000000" w:themeColor="text1"/>
          <w:sz w:val="28"/>
          <w:szCs w:val="28"/>
        </w:rPr>
        <w:t>від провадження ним охоронної діяльності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подальшого </w:t>
      </w:r>
      <w:r>
        <w:rPr>
          <w:rFonts w:ascii="Times New Roman" w:hAnsi="Times New Roman"/>
          <w:sz w:val="28"/>
          <w:szCs w:val="28"/>
        </w:rPr>
        <w:t xml:space="preserve">визначення 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переліку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ліцензіатів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які підляга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тимуть </w:t>
      </w:r>
      <w:r w:rsidRPr="00EC4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плановим заходам державного нагляду (контролю) у плановому періоді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D4768" w:rsidRPr="003A3F03" w:rsidRDefault="005D4768" w:rsidP="00494435">
      <w:pPr>
        <w:pStyle w:val="a4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3A3F03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uk-UA"/>
        </w:rPr>
        <w:t>ІІІ</w:t>
      </w:r>
      <w:r w:rsidR="00494435" w:rsidRPr="003A3F03">
        <w:rPr>
          <w:b/>
          <w:color w:val="auto"/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:rsidR="00494435" w:rsidRPr="003A3F03" w:rsidRDefault="00494435" w:rsidP="00A731CC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1. Визначення альтернативних способів</w:t>
      </w:r>
    </w:p>
    <w:p w:rsidR="00494435" w:rsidRPr="005619C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5806"/>
      </w:tblGrid>
      <w:tr w:rsidR="00494435" w:rsidRPr="003A3F03" w:rsidTr="005D6293">
        <w:tc>
          <w:tcPr>
            <w:tcW w:w="19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Опис альтернативи</w:t>
            </w:r>
          </w:p>
        </w:tc>
      </w:tr>
      <w:tr w:rsidR="00494435" w:rsidRPr="003A3F03" w:rsidTr="005D6293">
        <w:tc>
          <w:tcPr>
            <w:tcW w:w="19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99" w:rsidRPr="003A3F03" w:rsidRDefault="00B5213A" w:rsidP="003038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  <w:r w:rsidR="007B1D99" w:rsidRPr="003A3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435" w:rsidRPr="003A3F03" w:rsidRDefault="007B1D99" w:rsidP="008906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</w:t>
            </w:r>
            <w:r w:rsidR="00B5213A" w:rsidRPr="003A3F03">
              <w:rPr>
                <w:rFonts w:ascii="Times New Roman" w:hAnsi="Times New Roman"/>
                <w:sz w:val="28"/>
                <w:szCs w:val="28"/>
              </w:rPr>
              <w:t>алишення існуюч</w:t>
            </w:r>
            <w:r w:rsidR="0089064D">
              <w:rPr>
                <w:rFonts w:ascii="Times New Roman" w:hAnsi="Times New Roman"/>
                <w:sz w:val="28"/>
                <w:szCs w:val="28"/>
              </w:rPr>
              <w:t>ої ситуації без змін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89064D" w:rsidP="00945949">
            <w:pPr>
              <w:pStyle w:val="HTML"/>
              <w:shd w:val="clear" w:color="auto" w:fill="FFFFFF"/>
              <w:ind w:left="119" w:right="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494435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сприятиме </w:t>
            </w:r>
            <w:r w:rsidR="007B1D99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приведенню </w:t>
            </w:r>
            <w:r w:rsidR="000B60AF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регуляторн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0B60AF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1D99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7B1D99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відповідність до </w:t>
            </w:r>
            <w:r w:rsidR="00945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чинного </w:t>
            </w:r>
            <w:r w:rsidR="007B1D99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законодавства України,</w:t>
            </w:r>
            <w:r w:rsidR="00945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його удосконаленню, що призведе (може призвести) до </w:t>
            </w:r>
            <w:r w:rsidR="000B60AF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виник</w:t>
            </w:r>
            <w:r w:rsidR="00945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нення спірних питань </w:t>
            </w:r>
            <w:r w:rsidR="000B60AF" w:rsidRPr="003A3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між органом ліцензування та ліцензіатом</w:t>
            </w:r>
          </w:p>
        </w:tc>
      </w:tr>
      <w:tr w:rsidR="00494435" w:rsidRPr="003A3F03" w:rsidTr="005D6293">
        <w:tc>
          <w:tcPr>
            <w:tcW w:w="19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D99" w:rsidRPr="003A3F03" w:rsidRDefault="00D221BF" w:rsidP="00737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Альтернатива 2</w:t>
            </w:r>
            <w:r w:rsidR="007B1D99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4435" w:rsidRPr="003A3F03" w:rsidRDefault="007B1D99" w:rsidP="00737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494435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рийняття проекту постанови</w:t>
            </w:r>
          </w:p>
        </w:tc>
        <w:tc>
          <w:tcPr>
            <w:tcW w:w="30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945949" w:rsidP="00913CD0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9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2D7A35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риведення </w:t>
            </w:r>
            <w:r w:rsidR="000B60AF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регуляторн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ого </w:t>
            </w:r>
            <w:proofErr w:type="spellStart"/>
            <w:r w:rsidR="002D7A35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2D7A35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відповідність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вимог </w:t>
            </w:r>
            <w:r w:rsidR="002D7A35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законодавства України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урахування останніх у ньому змін</w:t>
            </w:r>
            <w:r w:rsidR="000B60AF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його </w:t>
            </w:r>
            <w:r w:rsidR="00942934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удосконалення</w:t>
            </w:r>
            <w:r w:rsidR="000B60AF" w:rsidRPr="003A3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частині</w:t>
            </w:r>
            <w:r w:rsidR="00913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визначення чітких, зрозумілих та однозначних умов провадження господарської діяльності, </w:t>
            </w:r>
            <w:r w:rsidR="00913CD0" w:rsidRPr="007E02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забезпечення </w:t>
            </w:r>
            <w:r w:rsidR="00913C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дотримання </w:t>
            </w:r>
            <w:r w:rsidR="00913CD0" w:rsidRPr="007E02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 </w:t>
            </w:r>
            <w:r w:rsidR="00913CD0" w:rsidRPr="007E029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реалізації прав і свобод </w:t>
            </w:r>
            <w:r w:rsidR="00913CD0" w:rsidRPr="007E0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осіб з інвалідністю та інших </w:t>
            </w:r>
            <w:proofErr w:type="spellStart"/>
            <w:r w:rsidR="00913CD0" w:rsidRPr="007E0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маломобільних</w:t>
            </w:r>
            <w:proofErr w:type="spellEnd"/>
            <w:r w:rsidR="00913CD0" w:rsidRPr="007E02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 населення</w:t>
            </w:r>
            <w:r w:rsidR="00913C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об’єктивного </w:t>
            </w:r>
            <w:r w:rsidR="00913CD0" w:rsidRPr="00790A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оцін</w:t>
            </w:r>
            <w:r w:rsidR="00913C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ювання органом ліцензування </w:t>
            </w:r>
            <w:r w:rsidR="00913CD0" w:rsidRPr="00790A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ступ</w:t>
            </w:r>
            <w:r w:rsidR="00913C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еня </w:t>
            </w:r>
            <w:r w:rsidR="00913CD0" w:rsidRPr="00790A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ризику </w:t>
            </w:r>
            <w:r w:rsidR="00913C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суб’єкта господарювання </w:t>
            </w:r>
            <w:r w:rsidR="00913CD0" w:rsidRPr="00790A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 провадження ним охоронної діяльності</w:t>
            </w:r>
          </w:p>
        </w:tc>
      </w:tr>
    </w:tbl>
    <w:p w:rsidR="00494435" w:rsidRPr="003A3F03" w:rsidRDefault="00494435" w:rsidP="0049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3A3F03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BD590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Pr="003A3F03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A3F03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2120"/>
      </w:tblGrid>
      <w:tr w:rsidR="00494435" w:rsidRPr="003A3F03" w:rsidTr="005206C0">
        <w:trPr>
          <w:trHeight w:hRule="exact" w:val="567"/>
        </w:trPr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5FC7" w:rsidRPr="00005FC7" w:rsidRDefault="00005FC7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494435" w:rsidRPr="003A3F03" w:rsidTr="005206C0"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769" w:rsidRPr="003A3F03" w:rsidRDefault="00D221BF" w:rsidP="00B54788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  <w:r w:rsidR="00367769" w:rsidRPr="003A3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435" w:rsidRPr="003A3F03" w:rsidRDefault="00367769" w:rsidP="00BD5905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</w:t>
            </w:r>
            <w:r w:rsidR="00494435" w:rsidRPr="003A3F03">
              <w:rPr>
                <w:rFonts w:ascii="Times New Roman" w:hAnsi="Times New Roman"/>
                <w:sz w:val="28"/>
                <w:szCs w:val="28"/>
              </w:rPr>
              <w:t>алишення існуюч</w:t>
            </w:r>
            <w:r w:rsidR="00BD5905">
              <w:rPr>
                <w:rFonts w:ascii="Times New Roman" w:hAnsi="Times New Roman"/>
                <w:sz w:val="28"/>
                <w:szCs w:val="28"/>
              </w:rPr>
              <w:t>ої ситуації без змін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B0D6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494435" w:rsidRPr="003A3F03" w:rsidTr="005206C0">
        <w:tc>
          <w:tcPr>
            <w:tcW w:w="1249" w:type="pct"/>
          </w:tcPr>
          <w:p w:rsidR="00CF1ADB" w:rsidRPr="003A3F03" w:rsidRDefault="00D221BF" w:rsidP="00B54788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  <w:r w:rsidR="00CF1ADB" w:rsidRPr="003A3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435" w:rsidRPr="003A3F03" w:rsidRDefault="00CF1ADB" w:rsidP="00B54788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</w:t>
            </w:r>
            <w:r w:rsidR="00494435" w:rsidRPr="003A3F03">
              <w:rPr>
                <w:rFonts w:ascii="Times New Roman" w:hAnsi="Times New Roman"/>
                <w:sz w:val="28"/>
                <w:szCs w:val="28"/>
              </w:rPr>
              <w:t>рийняття проекту постанови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CA5F1D" w:rsidRDefault="00CC0A53" w:rsidP="00F333D5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Приведення </w:t>
            </w:r>
            <w:r w:rsidR="00BD590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регуляторного </w:t>
            </w:r>
            <w:proofErr w:type="spellStart"/>
            <w:r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акт</w:t>
            </w:r>
            <w:r w:rsidR="00BD590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proofErr w:type="spellEnd"/>
            <w:r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у відповідність до </w:t>
            </w:r>
            <w:r w:rsidR="00BD590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вимог </w:t>
            </w:r>
            <w:r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законодавства України</w:t>
            </w:r>
            <w:r w:rsidR="00BD590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з урахуванням останніх у ньому змін, </w:t>
            </w:r>
            <w:r w:rsidR="00CF1ADB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врегулювання питання </w:t>
            </w:r>
            <w:r w:rsidR="00BD590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щодо </w:t>
            </w:r>
            <w:r w:rsidR="00F333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об’єктивного визначення переліку </w:t>
            </w:r>
            <w:r w:rsidR="00F333D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ліцензіатів, які підлягають плановим заходам державного нагляду (контролю) у плановому періоді</w:t>
            </w:r>
          </w:p>
        </w:tc>
        <w:tc>
          <w:tcPr>
            <w:tcW w:w="11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256311" w:rsidP="006D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CA5F1D" w:rsidRDefault="00CA5F1D" w:rsidP="0049443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960D8" w:rsidRPr="003A3F03" w:rsidRDefault="00EE3A0C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yellow"/>
        </w:rPr>
      </w:pPr>
      <w:r w:rsidRPr="003A3F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2120"/>
      </w:tblGrid>
      <w:tr w:rsidR="00EE3A0C" w:rsidRPr="003A3F03" w:rsidTr="00E308D0">
        <w:trPr>
          <w:trHeight w:hRule="exact" w:val="624"/>
        </w:trPr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EE3A0C" w:rsidRPr="003A3F03" w:rsidTr="00005FC7"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3A3F03" w:rsidRDefault="00EE3A0C" w:rsidP="00ED35E9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1.</w:t>
            </w:r>
          </w:p>
          <w:p w:rsidR="00EE3A0C" w:rsidRPr="003A3F03" w:rsidRDefault="00EE3A0C" w:rsidP="00BD5905">
            <w:pPr>
              <w:spacing w:after="0" w:line="240" w:lineRule="auto"/>
              <w:ind w:left="142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Залишення існуюч</w:t>
            </w:r>
            <w:r w:rsidR="00BD5905">
              <w:rPr>
                <w:rFonts w:ascii="Times New Roman" w:hAnsi="Times New Roman"/>
                <w:sz w:val="28"/>
                <w:szCs w:val="28"/>
              </w:rPr>
              <w:t>ої ситуації без змін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EE3A0C" w:rsidRPr="003A3F03" w:rsidTr="00005FC7">
        <w:tc>
          <w:tcPr>
            <w:tcW w:w="1249" w:type="pct"/>
          </w:tcPr>
          <w:p w:rsidR="00EE3A0C" w:rsidRPr="003A3F03" w:rsidRDefault="00EE3A0C" w:rsidP="00ED35E9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2.</w:t>
            </w:r>
          </w:p>
          <w:p w:rsidR="00EE3A0C" w:rsidRPr="003A3F03" w:rsidRDefault="00EE3A0C" w:rsidP="00ED35E9">
            <w:pPr>
              <w:spacing w:after="0" w:line="240" w:lineRule="auto"/>
              <w:ind w:left="159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Прийняття проекту постанови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3A0C" w:rsidRPr="003A3F03" w:rsidRDefault="00DD10A7" w:rsidP="00097DE1">
            <w:pPr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Отримання інформації про стан  </w:t>
            </w:r>
            <w:r w:rsidR="00097DE1">
              <w:rPr>
                <w:rFonts w:ascii="Times New Roman" w:hAnsi="Times New Roman"/>
                <w:sz w:val="28"/>
                <w:szCs w:val="28"/>
              </w:rPr>
              <w:t xml:space="preserve">організації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охорони власного майна</w:t>
            </w:r>
            <w:r w:rsidR="00097DE1">
              <w:rPr>
                <w:rFonts w:ascii="Times New Roman" w:hAnsi="Times New Roman"/>
                <w:sz w:val="28"/>
                <w:szCs w:val="28"/>
              </w:rPr>
              <w:t xml:space="preserve"> ліцензіатом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забезпечення  доступності до приміщень, у яких здійснюється обслуговування клієнтів (споживачів послуг), для осіб з інвалідністю та інших </w:t>
            </w:r>
            <w:proofErr w:type="spellStart"/>
            <w:r w:rsidR="00097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маломобільних</w:t>
            </w:r>
            <w:proofErr w:type="spellEnd"/>
            <w:r w:rsidR="00097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 населення</w:t>
            </w:r>
            <w:r w:rsidR="000D6F43" w:rsidRPr="003A3F0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A0C" w:rsidRPr="003A3F03" w:rsidRDefault="00EE3A0C" w:rsidP="00ED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B960D8" w:rsidRPr="003A3F03" w:rsidRDefault="00B960D8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yellow"/>
        </w:rPr>
      </w:pPr>
    </w:p>
    <w:p w:rsidR="00494435" w:rsidRPr="003A3F03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A3F03">
        <w:rPr>
          <w:rFonts w:ascii="Times New Roman" w:eastAsia="Times New Roman" w:hAnsi="Times New Roman"/>
          <w:i/>
          <w:sz w:val="28"/>
          <w:szCs w:val="28"/>
        </w:rPr>
        <w:t>Оцінка впливу на сферу інтересів:</w:t>
      </w:r>
    </w:p>
    <w:p w:rsidR="00494435" w:rsidRPr="003A3F03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3F03">
        <w:rPr>
          <w:rFonts w:ascii="Times New Roman" w:eastAsia="Times New Roman" w:hAnsi="Times New Roman"/>
          <w:i/>
          <w:sz w:val="28"/>
          <w:szCs w:val="28"/>
        </w:rPr>
        <w:t>суб’єктів господарювання, що здійснюють охоронну діяльність: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235"/>
        <w:gridCol w:w="1363"/>
        <w:gridCol w:w="1008"/>
        <w:gridCol w:w="1170"/>
        <w:gridCol w:w="955"/>
      </w:tblGrid>
      <w:tr w:rsidR="00494435" w:rsidRPr="003A3F03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3A3F03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B2BD9" w:rsidRDefault="00C22EB8" w:rsidP="0009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918B5"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435"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B2BD9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78481E"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B2BD9" w:rsidRDefault="00C22EB8" w:rsidP="00C2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B2BD9" w:rsidRDefault="000918B5" w:rsidP="00C2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6062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B2BD9" w:rsidRDefault="006711FF" w:rsidP="0009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918B5" w:rsidRPr="001B2B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</w:tr>
      <w:tr w:rsidR="00494435" w:rsidRPr="003A3F03" w:rsidTr="00E751AF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2A0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Питома вага групи в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62D05" w:rsidRDefault="00494435" w:rsidP="00F2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1B2BD9"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62D05" w:rsidRDefault="001B2BD9" w:rsidP="00F2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F5CA2"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  <w:r w:rsidR="00494435"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62D05" w:rsidRDefault="001B2BD9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1F5CA2"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62D05" w:rsidRDefault="001B2BD9" w:rsidP="00B9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162D05"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162D05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2D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494435" w:rsidRPr="00A338B8" w:rsidRDefault="00494435" w:rsidP="000A60B8">
      <w:pPr>
        <w:spacing w:after="0" w:line="240" w:lineRule="auto"/>
        <w:ind w:firstLine="868"/>
        <w:rPr>
          <w:rFonts w:ascii="Times New Roman" w:hAnsi="Times New Roman"/>
          <w:sz w:val="18"/>
          <w:szCs w:val="1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5014"/>
        <w:gridCol w:w="2098"/>
      </w:tblGrid>
      <w:tr w:rsidR="00CA5F1D" w:rsidRPr="003A3F03" w:rsidTr="008D5A55">
        <w:tc>
          <w:tcPr>
            <w:tcW w:w="12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F333D5" w:rsidRDefault="00494435" w:rsidP="008D5A55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F333D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Вид</w:t>
            </w:r>
            <w:r w:rsidR="008D5A55" w:rsidRPr="00F333D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333D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альтернативи</w:t>
            </w:r>
          </w:p>
        </w:tc>
        <w:tc>
          <w:tcPr>
            <w:tcW w:w="266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11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Витрати</w:t>
            </w:r>
          </w:p>
        </w:tc>
      </w:tr>
      <w:tr w:rsidR="00CA5F1D" w:rsidRPr="003A3F03" w:rsidTr="008D5A55">
        <w:tc>
          <w:tcPr>
            <w:tcW w:w="1224" w:type="pct"/>
          </w:tcPr>
          <w:p w:rsidR="00DF60F9" w:rsidRPr="003A3F03" w:rsidRDefault="005A5C0E" w:rsidP="002A0D7E">
            <w:pPr>
              <w:spacing w:after="0" w:line="240" w:lineRule="auto"/>
              <w:ind w:left="142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</w:t>
            </w:r>
            <w:r w:rsidR="00DF60F9" w:rsidRPr="003A3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435" w:rsidRPr="003A3F03" w:rsidRDefault="00DF60F9" w:rsidP="00F333D5">
            <w:pPr>
              <w:spacing w:after="0" w:line="240" w:lineRule="auto"/>
              <w:ind w:left="142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</w:t>
            </w:r>
            <w:r w:rsidR="005A5C0E" w:rsidRPr="003A3F03">
              <w:rPr>
                <w:rFonts w:ascii="Times New Roman" w:hAnsi="Times New Roman"/>
                <w:sz w:val="28"/>
                <w:szCs w:val="28"/>
              </w:rPr>
              <w:t>алишення існуюч</w:t>
            </w:r>
            <w:r w:rsidR="00F333D5">
              <w:rPr>
                <w:rFonts w:ascii="Times New Roman" w:hAnsi="Times New Roman"/>
                <w:sz w:val="28"/>
                <w:szCs w:val="28"/>
              </w:rPr>
              <w:t xml:space="preserve">ої ситуації </w:t>
            </w:r>
            <w:r w:rsidR="005A5C0E" w:rsidRPr="003A3F03">
              <w:rPr>
                <w:rFonts w:ascii="Times New Roman" w:hAnsi="Times New Roman"/>
                <w:sz w:val="28"/>
                <w:szCs w:val="28"/>
              </w:rPr>
              <w:t xml:space="preserve"> без змін</w:t>
            </w:r>
          </w:p>
        </w:tc>
        <w:tc>
          <w:tcPr>
            <w:tcW w:w="26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FA09FA" w:rsidP="00F33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Відсутність витрат на створення</w:t>
            </w:r>
            <w:r w:rsidRPr="003A3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умов</w:t>
            </w:r>
            <w:r w:rsidR="00F33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33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доступності до приміщень, у яких здійснюється обслуговування клієнтів (споживачів послуг), для осіб з інвалідністю та інших </w:t>
            </w:r>
            <w:proofErr w:type="spellStart"/>
            <w:r w:rsidR="00F333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маломобільних</w:t>
            </w:r>
            <w:proofErr w:type="spellEnd"/>
            <w:r w:rsidR="00F333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 населення</w:t>
            </w:r>
            <w:r w:rsidR="00F333D5" w:rsidRPr="003A3F0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1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CA5F1D" w:rsidRPr="003A3F03" w:rsidTr="008D5A55">
        <w:tc>
          <w:tcPr>
            <w:tcW w:w="12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0F9" w:rsidRPr="003A3F03" w:rsidRDefault="005A5C0E" w:rsidP="002A0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2</w:t>
            </w:r>
            <w:r w:rsidR="00DF60F9" w:rsidRPr="003A3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4435" w:rsidRPr="003A3F03" w:rsidRDefault="00DF60F9" w:rsidP="002A0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</w:t>
            </w:r>
            <w:r w:rsidR="005A5C0E" w:rsidRPr="003A3F03">
              <w:rPr>
                <w:rFonts w:ascii="Times New Roman" w:hAnsi="Times New Roman"/>
                <w:sz w:val="28"/>
                <w:szCs w:val="28"/>
              </w:rPr>
              <w:t>рийняття проекту постанови</w:t>
            </w:r>
          </w:p>
        </w:tc>
        <w:tc>
          <w:tcPr>
            <w:tcW w:w="26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945FB4" w:rsidRDefault="005206C0" w:rsidP="005206C0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Об’єктивність </w:t>
            </w:r>
            <w:r w:rsidRPr="00790AA4">
              <w:rPr>
                <w:color w:val="000000" w:themeColor="text1"/>
                <w:sz w:val="28"/>
                <w:szCs w:val="28"/>
              </w:rPr>
              <w:t>оцін</w:t>
            </w:r>
            <w:r>
              <w:rPr>
                <w:color w:val="000000" w:themeColor="text1"/>
                <w:sz w:val="28"/>
                <w:szCs w:val="28"/>
              </w:rPr>
              <w:t xml:space="preserve">ювання </w:t>
            </w:r>
            <w:r w:rsidRPr="00790AA4">
              <w:rPr>
                <w:color w:val="000000" w:themeColor="text1"/>
                <w:sz w:val="28"/>
                <w:szCs w:val="28"/>
              </w:rPr>
              <w:t>ступ</w:t>
            </w:r>
            <w:r>
              <w:rPr>
                <w:color w:val="000000" w:themeColor="text1"/>
                <w:sz w:val="28"/>
                <w:szCs w:val="28"/>
              </w:rPr>
              <w:t xml:space="preserve">еня </w:t>
            </w:r>
            <w:r w:rsidRPr="00790AA4">
              <w:rPr>
                <w:color w:val="000000" w:themeColor="text1"/>
                <w:sz w:val="28"/>
                <w:szCs w:val="28"/>
              </w:rPr>
              <w:t xml:space="preserve">ризику </w:t>
            </w:r>
            <w:r>
              <w:rPr>
                <w:color w:val="000000" w:themeColor="text1"/>
                <w:sz w:val="28"/>
                <w:szCs w:val="28"/>
              </w:rPr>
              <w:t xml:space="preserve">суб’єкта господарювання </w:t>
            </w:r>
            <w:r w:rsidRPr="00790AA4">
              <w:rPr>
                <w:color w:val="000000" w:themeColor="text1"/>
                <w:sz w:val="28"/>
                <w:szCs w:val="28"/>
              </w:rPr>
              <w:t>від провадження ним охоронної діяльності</w:t>
            </w:r>
            <w:r>
              <w:rPr>
                <w:color w:val="000000" w:themeColor="text1"/>
                <w:sz w:val="28"/>
                <w:szCs w:val="28"/>
              </w:rPr>
              <w:t xml:space="preserve">, що впливає на періодичність проведення планових заходів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державного нагляду (контролю) </w:t>
            </w:r>
            <w:r w:rsidRPr="00EC435C">
              <w:rPr>
                <w:color w:val="000000"/>
                <w:sz w:val="28"/>
                <w:szCs w:val="28"/>
                <w:shd w:val="clear" w:color="auto" w:fill="FFFFFF"/>
              </w:rPr>
              <w:t>у плановому періоді</w:t>
            </w:r>
          </w:p>
        </w:tc>
        <w:tc>
          <w:tcPr>
            <w:tcW w:w="111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9D7C74" w:rsidRDefault="005A5C0E" w:rsidP="00CA5F1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6B4384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Додаткові витрати </w:t>
            </w:r>
            <w:r w:rsidR="00287E39" w:rsidRPr="006B43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</w:t>
            </w:r>
            <w:r w:rsidR="000D6F43" w:rsidRPr="006B4384">
              <w:rPr>
                <w:rFonts w:ascii="Times New Roman" w:hAnsi="Times New Roman"/>
                <w:spacing w:val="-4"/>
                <w:sz w:val="28"/>
                <w:szCs w:val="28"/>
              </w:rPr>
              <w:t>створення</w:t>
            </w:r>
            <w:r w:rsidR="000D6F43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0D6F43" w:rsidRPr="006B43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умов </w:t>
            </w:r>
            <w:r w:rsidR="00CA5F1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доступності до приміщень, у </w:t>
            </w:r>
            <w:r w:rsidR="00CA5F1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яких здійснюється обслуговування клієнтів (споживачів послуг), для осіб з інвалідністю та інших </w:t>
            </w:r>
            <w:proofErr w:type="spellStart"/>
            <w:r w:rsidR="00CA5F1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маломобільних</w:t>
            </w:r>
            <w:proofErr w:type="spellEnd"/>
            <w:r w:rsidR="00CA5F1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груп населення</w:t>
            </w:r>
            <w:r w:rsidR="00CA5F1D" w:rsidRPr="006B43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</w:t>
            </w:r>
            <w:r w:rsidR="000D6F43" w:rsidRPr="006B438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</w:t>
            </w:r>
          </w:p>
        </w:tc>
      </w:tr>
    </w:tbl>
    <w:p w:rsidR="00D74072" w:rsidRPr="003A3F03" w:rsidRDefault="00D74072" w:rsidP="00D74072">
      <w:pPr>
        <w:pStyle w:val="2"/>
        <w:spacing w:after="0" w:line="240" w:lineRule="auto"/>
        <w:ind w:firstLine="851"/>
        <w:jc w:val="both"/>
        <w:rPr>
          <w:color w:val="000000"/>
          <w:szCs w:val="28"/>
          <w:lang w:val="uk-UA"/>
        </w:rPr>
      </w:pPr>
    </w:p>
    <w:p w:rsidR="00D74072" w:rsidRPr="00E93E35" w:rsidRDefault="006B4384" w:rsidP="00E93E35">
      <w:pPr>
        <w:pStyle w:val="2"/>
        <w:spacing w:after="0" w:line="240" w:lineRule="auto"/>
        <w:ind w:firstLine="709"/>
        <w:jc w:val="both"/>
        <w:rPr>
          <w:color w:val="000000"/>
          <w:szCs w:val="28"/>
          <w:lang w:val="uk-UA"/>
        </w:rPr>
      </w:pPr>
      <w:r w:rsidRPr="00E93E35">
        <w:rPr>
          <w:color w:val="000000"/>
          <w:szCs w:val="28"/>
          <w:shd w:val="clear" w:color="auto" w:fill="FFFFFF"/>
          <w:lang w:val="uk-UA"/>
        </w:rPr>
        <w:t>Вплив на сферу інтересів суб’єктів господарювання великого і середнього підприємництва</w:t>
      </w:r>
      <w:r w:rsidR="00D74072" w:rsidRPr="00E93E35">
        <w:rPr>
          <w:color w:val="000000"/>
          <w:szCs w:val="28"/>
          <w:lang w:val="uk-UA"/>
        </w:rPr>
        <w:t xml:space="preserve"> (згідно з додатком 2 до Методики проведення аналізу впливу регуляторного </w:t>
      </w:r>
      <w:proofErr w:type="spellStart"/>
      <w:r w:rsidR="00D74072" w:rsidRPr="00E93E35">
        <w:rPr>
          <w:color w:val="000000"/>
          <w:szCs w:val="28"/>
          <w:lang w:val="uk-UA"/>
        </w:rPr>
        <w:t>акта</w:t>
      </w:r>
      <w:proofErr w:type="spellEnd"/>
      <w:r w:rsidR="00D74072" w:rsidRPr="00E93E35">
        <w:rPr>
          <w:color w:val="000000"/>
          <w:szCs w:val="28"/>
          <w:lang w:val="uk-UA"/>
        </w:rPr>
        <w:t xml:space="preserve">, затвердженої постановою Кабінету Міністрів України від </w:t>
      </w:r>
      <w:r w:rsidR="005E2B35">
        <w:rPr>
          <w:color w:val="000000"/>
          <w:szCs w:val="28"/>
          <w:lang w:val="uk-UA"/>
        </w:rPr>
        <w:t xml:space="preserve">             </w:t>
      </w:r>
      <w:r w:rsidR="00D74072" w:rsidRPr="00E93E35">
        <w:rPr>
          <w:color w:val="000000"/>
          <w:szCs w:val="28"/>
          <w:lang w:val="uk-UA"/>
        </w:rPr>
        <w:t>11 березня 2004 року № 308)</w:t>
      </w:r>
    </w:p>
    <w:p w:rsidR="00D74072" w:rsidRPr="003A3F03" w:rsidRDefault="00D74072" w:rsidP="00D74072">
      <w:pPr>
        <w:pStyle w:val="2"/>
        <w:spacing w:after="0" w:line="240" w:lineRule="auto"/>
        <w:ind w:firstLine="851"/>
        <w:jc w:val="center"/>
        <w:rPr>
          <w:color w:val="000000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D74072" w:rsidRPr="003A3F03" w:rsidTr="00B54EF5">
        <w:tc>
          <w:tcPr>
            <w:tcW w:w="6941" w:type="dxa"/>
            <w:shd w:val="clear" w:color="auto" w:fill="auto"/>
          </w:tcPr>
          <w:p w:rsidR="00D74072" w:rsidRPr="003A3F03" w:rsidRDefault="00D74072" w:rsidP="003904BA">
            <w:pPr>
              <w:pStyle w:val="2"/>
              <w:spacing w:after="0"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3A3F03">
              <w:rPr>
                <w:b/>
                <w:color w:val="000000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2687" w:type="dxa"/>
            <w:shd w:val="clear" w:color="auto" w:fill="auto"/>
          </w:tcPr>
          <w:p w:rsidR="00D74072" w:rsidRPr="003A3F03" w:rsidRDefault="00D74072" w:rsidP="003904BA">
            <w:pPr>
              <w:pStyle w:val="2"/>
              <w:spacing w:after="0" w:line="240" w:lineRule="auto"/>
              <w:jc w:val="center"/>
              <w:rPr>
                <w:b/>
                <w:color w:val="000000"/>
                <w:szCs w:val="28"/>
                <w:lang w:val="uk-UA"/>
              </w:rPr>
            </w:pPr>
            <w:r w:rsidRPr="003A3F03">
              <w:rPr>
                <w:b/>
                <w:color w:val="000000"/>
                <w:szCs w:val="28"/>
                <w:lang w:val="uk-UA"/>
              </w:rPr>
              <w:t>Сума витрат, гривень</w:t>
            </w:r>
          </w:p>
        </w:tc>
      </w:tr>
      <w:tr w:rsidR="00D74072" w:rsidRPr="003A3F03" w:rsidTr="00B54EF5">
        <w:tc>
          <w:tcPr>
            <w:tcW w:w="6941" w:type="dxa"/>
            <w:shd w:val="clear" w:color="auto" w:fill="auto"/>
          </w:tcPr>
          <w:p w:rsidR="00D74072" w:rsidRPr="003A3F03" w:rsidRDefault="00D74072" w:rsidP="003904BA">
            <w:pPr>
              <w:pStyle w:val="2"/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3A3F03">
              <w:rPr>
                <w:color w:val="000000"/>
                <w:szCs w:val="28"/>
                <w:lang w:val="uk-UA"/>
              </w:rPr>
              <w:t>Альтернатива 1.</w:t>
            </w:r>
            <w:r w:rsidRPr="003A3F03">
              <w:rPr>
                <w:szCs w:val="28"/>
                <w:lang w:val="uk-UA"/>
              </w:rPr>
              <w:t xml:space="preserve"> </w:t>
            </w:r>
          </w:p>
          <w:p w:rsidR="00D74072" w:rsidRPr="003A3F03" w:rsidRDefault="00E93E35" w:rsidP="00E93E35">
            <w:pPr>
              <w:pStyle w:val="2"/>
              <w:spacing w:after="0" w:line="240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Залишення існуючої ситуації без змін</w:t>
            </w:r>
          </w:p>
        </w:tc>
        <w:tc>
          <w:tcPr>
            <w:tcW w:w="2687" w:type="dxa"/>
            <w:shd w:val="clear" w:color="auto" w:fill="auto"/>
          </w:tcPr>
          <w:p w:rsidR="00D74072" w:rsidRPr="003A3F03" w:rsidRDefault="00D93CDB" w:rsidP="003904BA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E93E35">
              <w:rPr>
                <w:color w:val="000000"/>
                <w:szCs w:val="28"/>
                <w:lang w:val="en-US"/>
              </w:rPr>
              <w:t>X</w:t>
            </w:r>
          </w:p>
          <w:p w:rsidR="00D74072" w:rsidRPr="003A3F03" w:rsidRDefault="00D74072" w:rsidP="003904BA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D74072" w:rsidRPr="003A3F03" w:rsidTr="00B54EF5">
        <w:tc>
          <w:tcPr>
            <w:tcW w:w="6941" w:type="dxa"/>
            <w:shd w:val="clear" w:color="auto" w:fill="auto"/>
          </w:tcPr>
          <w:p w:rsidR="00D74072" w:rsidRPr="003A3F03" w:rsidRDefault="00D74072" w:rsidP="003904BA">
            <w:pPr>
              <w:pStyle w:val="2"/>
              <w:spacing w:after="0" w:line="240" w:lineRule="auto"/>
              <w:jc w:val="both"/>
              <w:rPr>
                <w:color w:val="000000"/>
                <w:szCs w:val="28"/>
                <w:lang w:val="uk-UA"/>
              </w:rPr>
            </w:pPr>
            <w:r w:rsidRPr="003A3F03">
              <w:rPr>
                <w:color w:val="000000"/>
                <w:szCs w:val="28"/>
                <w:lang w:val="uk-UA"/>
              </w:rPr>
              <w:t>Альтернатива 2.</w:t>
            </w:r>
          </w:p>
          <w:p w:rsidR="00D74072" w:rsidRPr="003A3F03" w:rsidRDefault="00D74072" w:rsidP="00D74072">
            <w:pPr>
              <w:pStyle w:val="2"/>
              <w:spacing w:after="0" w:line="240" w:lineRule="auto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3A3F03">
              <w:rPr>
                <w:szCs w:val="28"/>
              </w:rPr>
              <w:t>Прийняття</w:t>
            </w:r>
            <w:proofErr w:type="spellEnd"/>
            <w:r w:rsidRPr="003A3F03">
              <w:rPr>
                <w:szCs w:val="28"/>
              </w:rPr>
              <w:t xml:space="preserve"> проекту постанови</w:t>
            </w:r>
            <w:r w:rsidRPr="003A3F03">
              <w:rPr>
                <w:color w:val="000000"/>
                <w:szCs w:val="28"/>
                <w:lang w:val="uk-UA"/>
              </w:rPr>
              <w:t xml:space="preserve"> (сумарні витрати для суб’єктів господарювання великого і середнього підприємництва згідно з додатком 2 до Методики (рядок 11 таблиці «Витрати на одного суб’єкта господарювання великого і середнього підприємництва, які виникають унаслідок дії регуляторного </w:t>
            </w:r>
            <w:proofErr w:type="spellStart"/>
            <w:r w:rsidRPr="003A3F03">
              <w:rPr>
                <w:color w:val="000000"/>
                <w:szCs w:val="28"/>
                <w:lang w:val="uk-UA"/>
              </w:rPr>
              <w:t>акта</w:t>
            </w:r>
            <w:proofErr w:type="spellEnd"/>
            <w:r w:rsidRPr="003A3F03">
              <w:rPr>
                <w:color w:val="000000"/>
                <w:szCs w:val="28"/>
                <w:lang w:val="uk-UA"/>
              </w:rPr>
              <w:t>»)</w:t>
            </w:r>
          </w:p>
        </w:tc>
        <w:tc>
          <w:tcPr>
            <w:tcW w:w="2687" w:type="dxa"/>
            <w:shd w:val="clear" w:color="auto" w:fill="auto"/>
          </w:tcPr>
          <w:p w:rsidR="00D74072" w:rsidRPr="005E2B35" w:rsidRDefault="005E2B35" w:rsidP="003904BA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5772490,57 грн</w:t>
            </w:r>
          </w:p>
        </w:tc>
      </w:tr>
    </w:tbl>
    <w:p w:rsidR="00B54EF5" w:rsidRPr="003177CF" w:rsidRDefault="00B54EF5" w:rsidP="00D93CDB">
      <w:pPr>
        <w:pStyle w:val="AeiOaieaaeaec"/>
        <w:ind w:firstLine="709"/>
        <w:rPr>
          <w:b/>
          <w:color w:val="auto"/>
          <w:sz w:val="16"/>
          <w:szCs w:val="16"/>
          <w:lang w:val="en-US"/>
        </w:rPr>
      </w:pPr>
    </w:p>
    <w:p w:rsidR="003177CF" w:rsidRPr="003177CF" w:rsidRDefault="003177CF" w:rsidP="003177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Розрахунок витрат </w:t>
      </w:r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суб’єкт</w:t>
      </w:r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ів</w:t>
      </w:r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акта</w:t>
      </w:r>
      <w:proofErr w:type="spellEnd"/>
      <w:r w:rsidRPr="003177CF">
        <w:rPr>
          <w:rStyle w:val="rvts15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додається.</w:t>
      </w:r>
    </w:p>
    <w:p w:rsidR="003177CF" w:rsidRPr="003177CF" w:rsidRDefault="003177CF" w:rsidP="00D93CDB">
      <w:pPr>
        <w:pStyle w:val="AeiOaieaaeaec"/>
        <w:ind w:firstLine="709"/>
        <w:rPr>
          <w:b/>
          <w:color w:val="auto"/>
          <w:sz w:val="28"/>
          <w:szCs w:val="28"/>
          <w:lang w:val="en-US"/>
        </w:rPr>
      </w:pPr>
    </w:p>
    <w:p w:rsidR="00494435" w:rsidRPr="003A3F03" w:rsidRDefault="001949D6" w:rsidP="00D93CDB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IV</w:t>
      </w:r>
      <w:r w:rsidR="00494435" w:rsidRPr="003A3F03">
        <w:rPr>
          <w:b/>
          <w:color w:val="auto"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AE3019" w:rsidRPr="003A3F03" w:rsidRDefault="00AE3019" w:rsidP="00494435">
      <w:pPr>
        <w:pStyle w:val="AeiOaieaaeaec"/>
        <w:ind w:firstLine="709"/>
        <w:jc w:val="both"/>
        <w:rPr>
          <w:color w:val="auto"/>
          <w:sz w:val="28"/>
          <w:szCs w:val="2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275"/>
        <w:gridCol w:w="90"/>
        <w:gridCol w:w="2088"/>
        <w:gridCol w:w="232"/>
        <w:gridCol w:w="3356"/>
      </w:tblGrid>
      <w:tr w:rsidR="00494435" w:rsidRPr="003A3F03" w:rsidTr="00D93CDB">
        <w:tc>
          <w:tcPr>
            <w:tcW w:w="198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59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386DF9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7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бала</w:t>
            </w:r>
            <w:proofErr w:type="spellEnd"/>
          </w:p>
        </w:tc>
      </w:tr>
      <w:tr w:rsidR="00494435" w:rsidRPr="003A3F03" w:rsidTr="00D93CDB">
        <w:trPr>
          <w:trHeight w:val="827"/>
        </w:trPr>
        <w:tc>
          <w:tcPr>
            <w:tcW w:w="198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51FB" w:rsidRPr="003A3F03" w:rsidRDefault="00F151FB" w:rsidP="008A3387">
            <w:pPr>
              <w:spacing w:after="0" w:line="240" w:lineRule="auto"/>
              <w:ind w:left="118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1.</w:t>
            </w:r>
          </w:p>
          <w:p w:rsidR="00494435" w:rsidRPr="003A3F03" w:rsidRDefault="0031672F" w:rsidP="00E93E35">
            <w:pPr>
              <w:spacing w:after="0" w:line="240" w:lineRule="auto"/>
              <w:ind w:left="118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Залишення існуюч</w:t>
            </w:r>
            <w:r w:rsidR="00E93E35">
              <w:rPr>
                <w:rFonts w:ascii="Times New Roman" w:hAnsi="Times New Roman"/>
                <w:sz w:val="28"/>
                <w:szCs w:val="28"/>
              </w:rPr>
              <w:t xml:space="preserve">ої ситуації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без змін</w:t>
            </w:r>
          </w:p>
        </w:tc>
        <w:tc>
          <w:tcPr>
            <w:tcW w:w="1259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E3019" w:rsidRPr="003A3F03" w:rsidRDefault="00494435" w:rsidP="0023442A">
            <w:pPr>
              <w:spacing w:after="0" w:line="240" w:lineRule="auto"/>
              <w:ind w:left="105" w:right="9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Цілі не будуть  досягнуті (проблема продовжує існувати)</w:t>
            </w:r>
          </w:p>
        </w:tc>
      </w:tr>
      <w:tr w:rsidR="00494435" w:rsidRPr="003A3F03" w:rsidTr="00D93CDB">
        <w:tc>
          <w:tcPr>
            <w:tcW w:w="1987" w:type="pct"/>
            <w:gridSpan w:val="2"/>
          </w:tcPr>
          <w:p w:rsidR="00F151FB" w:rsidRPr="003A3F03" w:rsidRDefault="00F151FB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2.</w:t>
            </w:r>
          </w:p>
          <w:p w:rsidR="00494435" w:rsidRPr="003A3F03" w:rsidRDefault="00494435" w:rsidP="00F02AC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Прийняття проекту постанови</w:t>
            </w:r>
          </w:p>
        </w:tc>
        <w:tc>
          <w:tcPr>
            <w:tcW w:w="1259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23442A" w:rsidP="00D9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Style w:val="FontStyle41"/>
                <w:b w:val="0"/>
                <w:sz w:val="28"/>
                <w:szCs w:val="28"/>
              </w:rPr>
              <w:t>Цілі п</w:t>
            </w:r>
            <w:r w:rsidR="00494435" w:rsidRPr="003A3F03">
              <w:rPr>
                <w:rStyle w:val="FontStyle41"/>
                <w:b w:val="0"/>
                <w:sz w:val="28"/>
                <w:szCs w:val="28"/>
              </w:rPr>
              <w:t xml:space="preserve">рийняття постанови  </w:t>
            </w:r>
            <w:r w:rsidR="00D93CDB" w:rsidRPr="003A3F03">
              <w:rPr>
                <w:rStyle w:val="FontStyle41"/>
                <w:b w:val="0"/>
                <w:sz w:val="28"/>
                <w:szCs w:val="28"/>
              </w:rPr>
              <w:t xml:space="preserve">буде </w:t>
            </w:r>
            <w:r w:rsidR="00494435" w:rsidRPr="003A3F03">
              <w:rPr>
                <w:rStyle w:val="FontStyle41"/>
                <w:b w:val="0"/>
                <w:sz w:val="28"/>
                <w:szCs w:val="28"/>
              </w:rPr>
              <w:t>досягн</w:t>
            </w:r>
            <w:r w:rsidR="00D93CDB" w:rsidRPr="003A3F03">
              <w:rPr>
                <w:rStyle w:val="FontStyle41"/>
                <w:b w:val="0"/>
                <w:sz w:val="28"/>
                <w:szCs w:val="28"/>
              </w:rPr>
              <w:t xml:space="preserve">уто. </w:t>
            </w:r>
            <w:r w:rsidR="00494435" w:rsidRPr="003A3F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Проблема більше існувати не буде</w:t>
            </w:r>
          </w:p>
        </w:tc>
      </w:tr>
      <w:tr w:rsidR="007578F4" w:rsidRPr="003A3F03" w:rsidTr="00386DF9">
        <w:tc>
          <w:tcPr>
            <w:tcW w:w="13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713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Вигоди (підсумок)</w:t>
            </w:r>
          </w:p>
        </w:tc>
        <w:tc>
          <w:tcPr>
            <w:tcW w:w="10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745E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 xml:space="preserve">Витрати </w:t>
            </w:r>
          </w:p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(підсумок)</w:t>
            </w:r>
          </w:p>
        </w:tc>
        <w:tc>
          <w:tcPr>
            <w:tcW w:w="1876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Обґрунтування відповідного місця альтернативи в рейтингу</w:t>
            </w:r>
          </w:p>
        </w:tc>
      </w:tr>
      <w:tr w:rsidR="007578F4" w:rsidRPr="003A3F03" w:rsidTr="00386DF9">
        <w:tc>
          <w:tcPr>
            <w:tcW w:w="13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151FB" w:rsidRPr="003A3F03" w:rsidRDefault="00F151FB" w:rsidP="0079325D">
            <w:pPr>
              <w:spacing w:after="0" w:line="240" w:lineRule="auto"/>
              <w:ind w:left="118"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1.</w:t>
            </w:r>
          </w:p>
          <w:p w:rsidR="00494435" w:rsidRPr="003A3F03" w:rsidRDefault="0079325D" w:rsidP="00A5752D">
            <w:pPr>
              <w:spacing w:after="0" w:line="240" w:lineRule="auto"/>
              <w:ind w:left="118"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Залишення існуюч</w:t>
            </w:r>
            <w:r w:rsidR="00A5752D">
              <w:rPr>
                <w:rFonts w:ascii="Times New Roman" w:hAnsi="Times New Roman"/>
                <w:sz w:val="28"/>
                <w:szCs w:val="28"/>
              </w:rPr>
              <w:t xml:space="preserve">ої ситуації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без змін</w:t>
            </w:r>
          </w:p>
        </w:tc>
        <w:tc>
          <w:tcPr>
            <w:tcW w:w="713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0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AE3019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1876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79325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3A3F03">
              <w:rPr>
                <w:rStyle w:val="FontStyle41"/>
                <w:b w:val="0"/>
                <w:sz w:val="28"/>
                <w:szCs w:val="28"/>
              </w:rPr>
              <w:t>Проблема продовжуватиме існувати, що не забезпечить досягнення поставленої цілі.</w:t>
            </w:r>
          </w:p>
          <w:p w:rsidR="00494435" w:rsidRPr="003A3F03" w:rsidRDefault="00494435" w:rsidP="00A5752D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Невідповідність </w:t>
            </w:r>
            <w:r w:rsidR="00480C10" w:rsidRPr="003A3F03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="00A5752D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="00480C10" w:rsidRPr="003A3F03">
              <w:rPr>
                <w:rFonts w:ascii="Times New Roman" w:hAnsi="Times New Roman"/>
                <w:sz w:val="28"/>
                <w:szCs w:val="28"/>
              </w:rPr>
              <w:t>акт</w:t>
            </w:r>
            <w:r w:rsidR="00A5752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80C10"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вимогам </w:t>
            </w:r>
            <w:r w:rsidRPr="003A3F03">
              <w:rPr>
                <w:rStyle w:val="FontStyle44"/>
                <w:sz w:val="28"/>
                <w:szCs w:val="28"/>
              </w:rPr>
              <w:t xml:space="preserve">законодавства </w:t>
            </w:r>
            <w:r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України,</w:t>
            </w:r>
            <w:r w:rsidR="00480C10"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нев</w:t>
            </w:r>
            <w:r w:rsidR="00A57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иконання планів заходів Уряду</w:t>
            </w:r>
          </w:p>
        </w:tc>
      </w:tr>
      <w:tr w:rsidR="007578F4" w:rsidRPr="003A3F03" w:rsidTr="00386DF9">
        <w:tc>
          <w:tcPr>
            <w:tcW w:w="1321" w:type="pct"/>
          </w:tcPr>
          <w:p w:rsidR="00F151FB" w:rsidRPr="003A3F03" w:rsidRDefault="00F151FB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2.</w:t>
            </w:r>
          </w:p>
          <w:p w:rsidR="00494435" w:rsidRPr="003A3F03" w:rsidRDefault="00494435" w:rsidP="00AE3019">
            <w:pPr>
              <w:spacing w:after="0" w:line="240" w:lineRule="auto"/>
              <w:ind w:left="142" w:right="56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Прийняття проекту постанови</w:t>
            </w:r>
          </w:p>
        </w:tc>
        <w:tc>
          <w:tcPr>
            <w:tcW w:w="713" w:type="pct"/>
            <w:gridSpan w:val="2"/>
          </w:tcPr>
          <w:p w:rsidR="00494435" w:rsidRPr="003A3F03" w:rsidRDefault="007578F4" w:rsidP="00757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0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C5DAA" w:rsidP="00386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Фінансові витрати на створення</w:t>
            </w:r>
            <w:r w:rsidRPr="003A3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умов </w:t>
            </w:r>
            <w:r w:rsidR="00A5752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доступності до приміщень, у яких</w:t>
            </w:r>
            <w:r w:rsidR="00386DF9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A5752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здійснюється обслуговування клієнтів (споживачів послуг), для осіб з інвалідністю та інших </w:t>
            </w:r>
            <w:proofErr w:type="spellStart"/>
            <w:r w:rsidR="00A5752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маломобільних</w:t>
            </w:r>
            <w:proofErr w:type="spellEnd"/>
            <w:r w:rsidR="00A5752D" w:rsidRPr="006B438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груп населення</w:t>
            </w:r>
          </w:p>
        </w:tc>
        <w:tc>
          <w:tcPr>
            <w:tcW w:w="1876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386DF9">
            <w:pPr>
              <w:spacing w:after="0" w:line="240" w:lineRule="auto"/>
              <w:ind w:left="59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Прийняття </w:t>
            </w:r>
            <w:r w:rsidR="0023442A" w:rsidRPr="003A3F03">
              <w:rPr>
                <w:rFonts w:ascii="Times New Roman" w:hAnsi="Times New Roman"/>
                <w:color w:val="000000"/>
                <w:sz w:val="28"/>
                <w:szCs w:val="28"/>
              </w:rPr>
              <w:t>проекту постанови</w:t>
            </w:r>
            <w:r w:rsidRPr="003A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дозволить досягнути задекларованих цілей</w:t>
            </w:r>
            <w:r w:rsidR="00386D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сприятиме</w:t>
            </w:r>
            <w:r w:rsidR="0066706D"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77E" w:rsidRPr="003A3F03">
              <w:rPr>
                <w:rFonts w:ascii="Times New Roman" w:hAnsi="Times New Roman"/>
                <w:sz w:val="28"/>
                <w:szCs w:val="28"/>
              </w:rPr>
              <w:t>в</w:t>
            </w:r>
            <w:r w:rsidR="0066706D" w:rsidRPr="003A3F03">
              <w:rPr>
                <w:rFonts w:ascii="Times New Roman" w:hAnsi="Times New Roman"/>
                <w:sz w:val="28"/>
                <w:szCs w:val="28"/>
              </w:rPr>
              <w:t xml:space="preserve">досконаленню </w:t>
            </w:r>
            <w:r w:rsidR="0023442A" w:rsidRPr="003A3F03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="00A5752D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="00A5752D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="00A5752D">
              <w:rPr>
                <w:rFonts w:ascii="Times New Roman" w:hAnsi="Times New Roman"/>
                <w:sz w:val="28"/>
                <w:szCs w:val="28"/>
              </w:rPr>
              <w:t xml:space="preserve"> та приведення його у відповідність до вимог законодавства України з урахуванням останніх змін</w:t>
            </w:r>
            <w:r w:rsidR="0066706D" w:rsidRPr="003A3F03">
              <w:rPr>
                <w:rFonts w:ascii="Times New Roman" w:hAnsi="Times New Roman"/>
                <w:sz w:val="28"/>
                <w:szCs w:val="28"/>
              </w:rPr>
              <w:t xml:space="preserve">,  забезпечить </w:t>
            </w:r>
            <w:r w:rsidR="0066706D" w:rsidRPr="003A3F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реалізаці</w:t>
            </w:r>
            <w:r w:rsidR="00022763" w:rsidRPr="003A3F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66706D" w:rsidRPr="003A3F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прав і свобод осіб з інвалідністю</w:t>
            </w:r>
            <w:r w:rsidR="00AB18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інших </w:t>
            </w:r>
            <w:proofErr w:type="spellStart"/>
            <w:r w:rsidR="00AB18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маломобільних</w:t>
            </w:r>
            <w:proofErr w:type="spellEnd"/>
            <w:r w:rsidR="00AB18D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 населення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4435" w:rsidRPr="003A3F03" w:rsidRDefault="00494435" w:rsidP="000A60B8">
      <w:pPr>
        <w:spacing w:after="0" w:line="240" w:lineRule="auto"/>
        <w:ind w:left="448" w:right="44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744"/>
        <w:gridCol w:w="3001"/>
      </w:tblGrid>
      <w:tr w:rsidR="00494435" w:rsidRPr="003A3F03" w:rsidTr="00D93CDB">
        <w:trPr>
          <w:trHeight w:val="1063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03">
              <w:rPr>
                <w:rFonts w:ascii="Times New Roman" w:hAnsi="Times New Roman"/>
                <w:b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3A3F03">
              <w:rPr>
                <w:rFonts w:ascii="Times New Roman" w:hAnsi="Times New Roman"/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494435" w:rsidRPr="003A3F03" w:rsidTr="003177CF">
        <w:trPr>
          <w:trHeight w:val="679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745E" w:rsidRPr="003A3F03" w:rsidRDefault="0023745E" w:rsidP="0088620F">
            <w:pPr>
              <w:spacing w:after="0" w:line="240" w:lineRule="auto"/>
              <w:ind w:left="11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Альтернатива 1.</w:t>
            </w:r>
          </w:p>
          <w:p w:rsidR="00494435" w:rsidRPr="003A3F03" w:rsidRDefault="0088620F" w:rsidP="00386DF9">
            <w:pPr>
              <w:spacing w:after="0" w:line="240" w:lineRule="auto"/>
              <w:ind w:left="118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>Залишення існуюч</w:t>
            </w:r>
            <w:r w:rsidR="00386DF9">
              <w:rPr>
                <w:rFonts w:ascii="Times New Roman" w:hAnsi="Times New Roman"/>
                <w:sz w:val="28"/>
                <w:szCs w:val="28"/>
              </w:rPr>
              <w:t>ої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DF9">
              <w:rPr>
                <w:rFonts w:ascii="Times New Roman" w:hAnsi="Times New Roman"/>
                <w:sz w:val="28"/>
                <w:szCs w:val="28"/>
              </w:rPr>
              <w:t xml:space="preserve">ситуації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без змін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23442A" w:rsidP="00CE457A">
            <w:pPr>
              <w:spacing w:after="0" w:line="240" w:lineRule="auto"/>
              <w:ind w:left="4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Переваги відсутні. </w:t>
            </w:r>
            <w:r w:rsidR="00494435" w:rsidRPr="003A3F03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CE457A">
              <w:rPr>
                <w:rFonts w:ascii="Times New Roman" w:hAnsi="Times New Roman"/>
                <w:sz w:val="28"/>
                <w:szCs w:val="28"/>
              </w:rPr>
              <w:t>і</w:t>
            </w:r>
            <w:r w:rsidR="00494435" w:rsidRPr="003A3F03">
              <w:rPr>
                <w:rFonts w:ascii="Times New Roman" w:hAnsi="Times New Roman"/>
                <w:sz w:val="28"/>
                <w:szCs w:val="28"/>
              </w:rPr>
              <w:t xml:space="preserve"> причин</w:t>
            </w:r>
            <w:r w:rsidR="00CE457A">
              <w:rPr>
                <w:rFonts w:ascii="Times New Roman" w:hAnsi="Times New Roman"/>
                <w:sz w:val="28"/>
                <w:szCs w:val="28"/>
              </w:rPr>
              <w:t>и</w:t>
            </w:r>
            <w:r w:rsidR="00494435" w:rsidRPr="003A3F03">
              <w:rPr>
                <w:rFonts w:ascii="Times New Roman" w:hAnsi="Times New Roman"/>
                <w:sz w:val="28"/>
                <w:szCs w:val="28"/>
              </w:rPr>
              <w:t xml:space="preserve"> відмови – незабезпечення приведення </w:t>
            </w:r>
            <w:r w:rsidR="0023745E" w:rsidRPr="003A3F03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="00386DF9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="00494435" w:rsidRPr="003A3F03">
              <w:rPr>
                <w:rFonts w:ascii="Times New Roman" w:hAnsi="Times New Roman"/>
                <w:sz w:val="28"/>
                <w:szCs w:val="28"/>
              </w:rPr>
              <w:t>акт</w:t>
            </w:r>
            <w:r w:rsidR="00386DF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94435" w:rsidRPr="003A3F03">
              <w:rPr>
                <w:rFonts w:ascii="Times New Roman" w:hAnsi="Times New Roman"/>
                <w:sz w:val="28"/>
                <w:szCs w:val="28"/>
              </w:rPr>
              <w:t xml:space="preserve"> у відповідність до </w:t>
            </w:r>
            <w:r w:rsidR="00494435" w:rsidRPr="003A3F03">
              <w:rPr>
                <w:rStyle w:val="FontStyle44"/>
                <w:sz w:val="28"/>
                <w:szCs w:val="28"/>
              </w:rPr>
              <w:t xml:space="preserve">законодавства </w:t>
            </w:r>
            <w:r w:rsidR="00494435"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України, </w:t>
            </w:r>
            <w:r w:rsidR="0023745E"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="0023745E"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</w:t>
            </w:r>
            <w:r w:rsidR="00386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конання запланованих заходів Уряду 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  <w:p w:rsidR="00494435" w:rsidRPr="003A3F03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435" w:rsidRPr="003A3F03" w:rsidTr="00D93CDB">
        <w:trPr>
          <w:trHeight w:val="1363"/>
        </w:trPr>
        <w:tc>
          <w:tcPr>
            <w:tcW w:w="2894" w:type="dxa"/>
            <w:vMerge w:val="restart"/>
          </w:tcPr>
          <w:p w:rsidR="0023745E" w:rsidRPr="003A3F03" w:rsidRDefault="0023745E" w:rsidP="0088620F">
            <w:pPr>
              <w:spacing w:after="0" w:line="240" w:lineRule="auto"/>
              <w:ind w:left="117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2.</w:t>
            </w:r>
          </w:p>
          <w:p w:rsidR="00494435" w:rsidRPr="003A3F03" w:rsidRDefault="00494435" w:rsidP="0088620F">
            <w:pPr>
              <w:spacing w:after="0" w:line="240" w:lineRule="auto"/>
              <w:ind w:left="117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Прийняття проекту </w:t>
            </w:r>
            <w:r w:rsidR="0088620F" w:rsidRPr="003A3F03">
              <w:rPr>
                <w:rFonts w:ascii="Times New Roman" w:hAnsi="Times New Roman"/>
                <w:sz w:val="28"/>
                <w:szCs w:val="28"/>
              </w:rPr>
              <w:t>постанови</w:t>
            </w:r>
          </w:p>
        </w:tc>
        <w:tc>
          <w:tcPr>
            <w:tcW w:w="3744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9142E5">
            <w:pPr>
              <w:spacing w:after="0" w:line="240" w:lineRule="auto"/>
              <w:ind w:left="40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Fonts w:ascii="Times New Roman" w:hAnsi="Times New Roman"/>
                <w:sz w:val="28"/>
                <w:szCs w:val="28"/>
              </w:rPr>
              <w:t xml:space="preserve">Прийняття </w:t>
            </w:r>
            <w:r w:rsidR="0023745E" w:rsidRPr="003A3F03">
              <w:rPr>
                <w:rFonts w:ascii="Times New Roman" w:hAnsi="Times New Roman"/>
                <w:sz w:val="28"/>
                <w:szCs w:val="28"/>
              </w:rPr>
              <w:t xml:space="preserve">проекту постани –  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сприятиме</w:t>
            </w:r>
            <w:r w:rsidR="00AE3019"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приведенн</w:t>
            </w:r>
            <w:r w:rsidR="006D1742" w:rsidRPr="003A3F03">
              <w:rPr>
                <w:rFonts w:ascii="Times New Roman" w:hAnsi="Times New Roman"/>
                <w:sz w:val="28"/>
                <w:szCs w:val="28"/>
              </w:rPr>
              <w:t>ю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45E" w:rsidRPr="003A3F03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="00386DF9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proofErr w:type="spellStart"/>
            <w:r w:rsidR="0023745E" w:rsidRPr="003A3F03">
              <w:rPr>
                <w:rFonts w:ascii="Times New Roman" w:hAnsi="Times New Roman"/>
                <w:sz w:val="28"/>
                <w:szCs w:val="28"/>
              </w:rPr>
              <w:t>акт</w:t>
            </w:r>
            <w:r w:rsidR="00386DF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A3F03">
              <w:rPr>
                <w:rFonts w:ascii="Times New Roman" w:hAnsi="Times New Roman"/>
                <w:sz w:val="28"/>
                <w:szCs w:val="28"/>
              </w:rPr>
              <w:t xml:space="preserve"> у відповідність до </w:t>
            </w:r>
            <w:r w:rsidR="0088620F" w:rsidRPr="003A3F03">
              <w:rPr>
                <w:rFonts w:ascii="Times New Roman" w:hAnsi="Times New Roman"/>
                <w:sz w:val="28"/>
                <w:szCs w:val="28"/>
              </w:rPr>
              <w:t>з</w:t>
            </w:r>
            <w:r w:rsidRPr="003A3F03">
              <w:rPr>
                <w:rFonts w:ascii="Times New Roman" w:hAnsi="Times New Roman"/>
                <w:sz w:val="28"/>
                <w:szCs w:val="28"/>
              </w:rPr>
              <w:t>акон</w:t>
            </w:r>
            <w:r w:rsidR="00AE3019" w:rsidRPr="003A3F03">
              <w:rPr>
                <w:rFonts w:ascii="Times New Roman" w:hAnsi="Times New Roman"/>
                <w:sz w:val="28"/>
                <w:szCs w:val="28"/>
              </w:rPr>
              <w:t xml:space="preserve">одавства </w:t>
            </w:r>
            <w:r w:rsidR="0088620F" w:rsidRPr="003A3F03">
              <w:rPr>
                <w:rFonts w:ascii="Times New Roman" w:hAnsi="Times New Roman"/>
                <w:sz w:val="28"/>
                <w:szCs w:val="28"/>
              </w:rPr>
              <w:t xml:space="preserve">України, </w:t>
            </w:r>
            <w:r w:rsidR="009142E5">
              <w:rPr>
                <w:rFonts w:ascii="Times New Roman" w:hAnsi="Times New Roman"/>
                <w:sz w:val="28"/>
                <w:szCs w:val="28"/>
              </w:rPr>
              <w:t xml:space="preserve">забезпечить </w:t>
            </w:r>
            <w:r w:rsidR="009142E5" w:rsidRPr="003A3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</w:t>
            </w:r>
            <w:r w:rsidR="0091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конання запланованих заходів Уряду, </w:t>
            </w:r>
            <w:r w:rsidR="009142E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врегулю</w:t>
            </w:r>
            <w:r w:rsidR="009142E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є </w:t>
            </w:r>
            <w:r w:rsidR="009142E5" w:rsidRPr="00CA5F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питання щодо </w:t>
            </w:r>
            <w:r w:rsidR="009142E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об’єктивного визначення переліку ліцензіатів, які підлягають плановим заходам державного нагляду (контролю) у плановому періоді</w:t>
            </w:r>
          </w:p>
        </w:tc>
        <w:tc>
          <w:tcPr>
            <w:tcW w:w="30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3A3F03" w:rsidRDefault="00494435" w:rsidP="008862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F03">
              <w:rPr>
                <w:rStyle w:val="FontStyle41"/>
                <w:b w:val="0"/>
                <w:sz w:val="28"/>
                <w:szCs w:val="28"/>
              </w:rPr>
              <w:t>Вплив зовнішніх факторів на</w:t>
            </w:r>
            <w:r w:rsidR="00AE3019" w:rsidRPr="003A3F03">
              <w:rPr>
                <w:rStyle w:val="FontStyle41"/>
                <w:b w:val="0"/>
                <w:sz w:val="28"/>
                <w:szCs w:val="28"/>
              </w:rPr>
              <w:t xml:space="preserve"> </w:t>
            </w:r>
            <w:r w:rsidRPr="003A3F03">
              <w:rPr>
                <w:rStyle w:val="FontStyle41"/>
                <w:b w:val="0"/>
                <w:sz w:val="28"/>
                <w:szCs w:val="28"/>
              </w:rPr>
              <w:t xml:space="preserve">дію регуляторного </w:t>
            </w:r>
            <w:proofErr w:type="spellStart"/>
            <w:r w:rsidRPr="003A3F03">
              <w:rPr>
                <w:rStyle w:val="FontStyle41"/>
                <w:b w:val="0"/>
                <w:sz w:val="28"/>
                <w:szCs w:val="28"/>
              </w:rPr>
              <w:t>акта</w:t>
            </w:r>
            <w:proofErr w:type="spellEnd"/>
            <w:r w:rsidRPr="003A3F03">
              <w:rPr>
                <w:rStyle w:val="FontStyle41"/>
                <w:b w:val="0"/>
                <w:sz w:val="28"/>
                <w:szCs w:val="28"/>
              </w:rPr>
              <w:t xml:space="preserve"> не очікується</w:t>
            </w:r>
          </w:p>
        </w:tc>
      </w:tr>
      <w:tr w:rsidR="00494435" w:rsidRPr="003A3F03" w:rsidTr="00D93CDB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3A3F03" w:rsidRDefault="00494435" w:rsidP="00E751AF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DF9" w:rsidRPr="00CE457A" w:rsidRDefault="00386DF9" w:rsidP="00C87DDD">
      <w:pPr>
        <w:pStyle w:val="AeiOaieaaeaec"/>
        <w:rPr>
          <w:b/>
          <w:color w:val="auto"/>
          <w:sz w:val="28"/>
          <w:szCs w:val="28"/>
        </w:rPr>
      </w:pPr>
    </w:p>
    <w:p w:rsidR="00E315C2" w:rsidRPr="00CE457A" w:rsidRDefault="006E0E22" w:rsidP="00C87DDD">
      <w:pPr>
        <w:pStyle w:val="AeiOaieaaeaec"/>
        <w:rPr>
          <w:b/>
          <w:color w:val="auto"/>
          <w:sz w:val="28"/>
          <w:szCs w:val="28"/>
          <w:lang w:val="uk-UA"/>
        </w:rPr>
      </w:pPr>
      <w:r w:rsidRPr="00CE457A">
        <w:rPr>
          <w:b/>
          <w:color w:val="auto"/>
          <w:sz w:val="28"/>
          <w:szCs w:val="28"/>
          <w:lang w:val="en-US"/>
        </w:rPr>
        <w:t>V</w:t>
      </w:r>
      <w:r w:rsidR="00494435" w:rsidRPr="00CE457A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494435" w:rsidRDefault="00E315C2" w:rsidP="00EA72E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CE457A">
        <w:rPr>
          <w:rFonts w:ascii="Times New Roman" w:hAnsi="Times New Roman"/>
          <w:sz w:val="28"/>
          <w:szCs w:val="28"/>
        </w:rPr>
        <w:t xml:space="preserve">Для розв’язання проблеми пропонується </w:t>
      </w:r>
      <w:r w:rsidR="00496A04" w:rsidRPr="00CE457A">
        <w:rPr>
          <w:rFonts w:ascii="Times New Roman" w:hAnsi="Times New Roman"/>
          <w:sz w:val="28"/>
          <w:szCs w:val="28"/>
        </w:rPr>
        <w:t xml:space="preserve">прийняти запропонований </w:t>
      </w:r>
      <w:r w:rsidR="007578F4" w:rsidRPr="00CE457A">
        <w:rPr>
          <w:rFonts w:ascii="Times New Roman" w:hAnsi="Times New Roman"/>
          <w:sz w:val="28"/>
          <w:szCs w:val="28"/>
        </w:rPr>
        <w:t>проект постанови</w:t>
      </w:r>
      <w:r w:rsidR="00496A04" w:rsidRPr="00CE457A">
        <w:rPr>
          <w:rFonts w:ascii="Times New Roman" w:hAnsi="Times New Roman"/>
          <w:sz w:val="28"/>
          <w:szCs w:val="28"/>
        </w:rPr>
        <w:t xml:space="preserve">, що </w:t>
      </w:r>
      <w:r w:rsidR="003369B3" w:rsidRPr="00CE457A">
        <w:rPr>
          <w:rFonts w:ascii="Times New Roman" w:hAnsi="Times New Roman"/>
          <w:sz w:val="28"/>
          <w:szCs w:val="28"/>
        </w:rPr>
        <w:t xml:space="preserve">забезпечить </w:t>
      </w:r>
      <w:r w:rsidR="00496A04" w:rsidRPr="00CE457A">
        <w:rPr>
          <w:rFonts w:ascii="Times New Roman" w:hAnsi="Times New Roman"/>
          <w:sz w:val="28"/>
          <w:szCs w:val="28"/>
        </w:rPr>
        <w:t>приведе</w:t>
      </w:r>
      <w:r w:rsidR="003369B3" w:rsidRPr="00CE457A">
        <w:rPr>
          <w:rFonts w:ascii="Times New Roman" w:hAnsi="Times New Roman"/>
          <w:sz w:val="28"/>
          <w:szCs w:val="28"/>
        </w:rPr>
        <w:t>нн</w:t>
      </w:r>
      <w:r w:rsidR="00CE457A">
        <w:rPr>
          <w:rFonts w:ascii="Times New Roman" w:hAnsi="Times New Roman"/>
          <w:sz w:val="28"/>
          <w:szCs w:val="28"/>
        </w:rPr>
        <w:t>я</w:t>
      </w:r>
      <w:r w:rsidR="00496A04" w:rsidRPr="00CE457A">
        <w:rPr>
          <w:rFonts w:ascii="Times New Roman" w:hAnsi="Times New Roman"/>
          <w:sz w:val="28"/>
          <w:szCs w:val="28"/>
        </w:rPr>
        <w:t xml:space="preserve"> </w:t>
      </w:r>
      <w:r w:rsidR="007578F4" w:rsidRPr="00CE457A">
        <w:rPr>
          <w:rFonts w:ascii="Times New Roman" w:hAnsi="Times New Roman"/>
          <w:sz w:val="28"/>
          <w:szCs w:val="28"/>
        </w:rPr>
        <w:t>регуляторн</w:t>
      </w:r>
      <w:r w:rsidR="00CE457A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7578F4" w:rsidRPr="00CE457A">
        <w:rPr>
          <w:rFonts w:ascii="Times New Roman" w:hAnsi="Times New Roman"/>
          <w:sz w:val="28"/>
          <w:szCs w:val="28"/>
        </w:rPr>
        <w:t>акт</w:t>
      </w:r>
      <w:r w:rsidR="00CE457A">
        <w:rPr>
          <w:rFonts w:ascii="Times New Roman" w:hAnsi="Times New Roman"/>
          <w:sz w:val="28"/>
          <w:szCs w:val="28"/>
        </w:rPr>
        <w:t>а</w:t>
      </w:r>
      <w:proofErr w:type="spellEnd"/>
      <w:r w:rsidR="00496A04" w:rsidRPr="00CE457A">
        <w:rPr>
          <w:rFonts w:ascii="Times New Roman" w:hAnsi="Times New Roman"/>
          <w:sz w:val="28"/>
          <w:szCs w:val="28"/>
        </w:rPr>
        <w:t xml:space="preserve"> у відповідність до вимог законодавства України з урахуванням останніх змін, що відбулися в ньому, </w:t>
      </w:r>
      <w:r w:rsidR="009A7496" w:rsidRPr="00CE457A">
        <w:rPr>
          <w:rFonts w:ascii="Times New Roman" w:hAnsi="Times New Roman"/>
          <w:sz w:val="28"/>
          <w:szCs w:val="28"/>
        </w:rPr>
        <w:t xml:space="preserve">їх </w:t>
      </w:r>
      <w:r w:rsidR="009B30A7" w:rsidRPr="00CE457A">
        <w:rPr>
          <w:rFonts w:ascii="Times New Roman" w:hAnsi="Times New Roman"/>
          <w:sz w:val="28"/>
          <w:szCs w:val="28"/>
        </w:rPr>
        <w:t>удосконалення</w:t>
      </w:r>
      <w:r w:rsidR="00EA72ED">
        <w:rPr>
          <w:rFonts w:ascii="Times New Roman" w:hAnsi="Times New Roman"/>
          <w:sz w:val="28"/>
          <w:szCs w:val="28"/>
        </w:rPr>
        <w:t xml:space="preserve"> у частині уточнення окремих умов провадження охоронної діяльності, </w:t>
      </w:r>
      <w:r w:rsidR="00632273" w:rsidRPr="00CE4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забезпечення дотримання та реалізацію прав і свобод осіб з інвалідністю</w:t>
      </w:r>
      <w:r w:rsidR="00EA72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інших </w:t>
      </w:r>
      <w:proofErr w:type="spellStart"/>
      <w:r w:rsidR="00EA72ED" w:rsidRPr="006B4384">
        <w:rPr>
          <w:rFonts w:ascii="Times New Roman" w:hAnsi="Times New Roman"/>
          <w:color w:val="000000" w:themeColor="text1"/>
          <w:spacing w:val="-4"/>
          <w:sz w:val="28"/>
          <w:szCs w:val="28"/>
        </w:rPr>
        <w:t>маломобільних</w:t>
      </w:r>
      <w:proofErr w:type="spellEnd"/>
      <w:r w:rsidR="00EA72ED" w:rsidRPr="006B438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груп населення</w:t>
      </w:r>
      <w:r w:rsidR="00EA72ED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EA72ED" w:rsidRDefault="00EA72ED" w:rsidP="00EA7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впровадження цього регуляторного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необхідно здійснити такі організаційні заходи:</w:t>
      </w:r>
    </w:p>
    <w:p w:rsidR="00EA72ED" w:rsidRDefault="00EA72ED" w:rsidP="00EA7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інформувати суб’єктів господарювання про вимоги </w:t>
      </w:r>
      <w:r w:rsidR="0086635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регуляторного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шляхом оприлюднення його на офіційному веб-сайті Міністерства внутрішніх справ України;</w:t>
      </w:r>
    </w:p>
    <w:p w:rsidR="00EA72ED" w:rsidRDefault="00EA72ED" w:rsidP="00EA7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погодити проект регуляторного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акта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6635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 </w:t>
      </w:r>
      <w:r w:rsidRPr="00866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заінтересовани</w:t>
      </w:r>
      <w:r w:rsidR="00866351" w:rsidRPr="00866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</w:t>
      </w:r>
      <w:r w:rsidRPr="00866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866351" w:rsidRPr="00866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ами.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</w:t>
      </w:r>
    </w:p>
    <w:p w:rsidR="00EA72ED" w:rsidRPr="003A3F03" w:rsidRDefault="00EA72ED" w:rsidP="00EA72E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7D2" w:rsidRPr="003A3F03" w:rsidRDefault="000977D2" w:rsidP="00C87DDD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VI</w:t>
      </w:r>
      <w:r w:rsidR="00494435" w:rsidRPr="003A3F03">
        <w:rPr>
          <w:b/>
          <w:color w:val="auto"/>
          <w:sz w:val="28"/>
          <w:szCs w:val="28"/>
          <w:lang w:val="uk-UA"/>
        </w:rPr>
        <w:t xml:space="preserve">. Оцінка виконання вимог регуляторного </w:t>
      </w:r>
      <w:proofErr w:type="spellStart"/>
      <w:r w:rsidR="00494435" w:rsidRPr="003A3F03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 w:rsidRPr="003A3F03">
        <w:rPr>
          <w:b/>
          <w:color w:val="auto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6D1742" w:rsidRPr="003A3F03">
        <w:rPr>
          <w:b/>
          <w:color w:val="auto"/>
          <w:sz w:val="28"/>
          <w:szCs w:val="28"/>
          <w:lang w:val="uk-UA"/>
        </w:rPr>
        <w:t>в</w:t>
      </w:r>
      <w:r w:rsidR="00494435" w:rsidRPr="003A3F03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494435" w:rsidRPr="003A3F03" w:rsidRDefault="00494435" w:rsidP="0086635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0977D2" w:rsidRPr="003A3F03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386AF9" w:rsidRPr="003A3F03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матеріальних</w:t>
      </w:r>
      <w:r w:rsidR="0065129B"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 w:rsidRPr="003A3F03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Pr="003A3F03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регуляторного </w:t>
      </w:r>
      <w:proofErr w:type="spellStart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 w:rsidRPr="003A3F03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суб’єктами  господарювання </w:t>
      </w:r>
      <w:r w:rsidRPr="003A3F03">
        <w:rPr>
          <w:rFonts w:ascii="Times New Roman" w:eastAsia="Times New Roman" w:hAnsi="Times New Roman"/>
          <w:sz w:val="28"/>
          <w:szCs w:val="28"/>
          <w:lang w:eastAsia="ru-RU"/>
        </w:rPr>
        <w:t>проведено тест малого підприємництва (М-Тест), що додається.</w:t>
      </w:r>
    </w:p>
    <w:p w:rsidR="003177CF" w:rsidRPr="003A3F03" w:rsidRDefault="003177CF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4435" w:rsidRPr="003A3F03" w:rsidRDefault="006E5C00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VII</w:t>
      </w:r>
      <w:r w:rsidR="00494435" w:rsidRPr="003A3F03">
        <w:rPr>
          <w:b/>
          <w:color w:val="auto"/>
          <w:sz w:val="28"/>
          <w:szCs w:val="28"/>
          <w:lang w:val="uk-UA"/>
        </w:rPr>
        <w:t xml:space="preserve">. Обґрунтування запропонованого строку дії регуляторного </w:t>
      </w:r>
      <w:proofErr w:type="spellStart"/>
      <w:r w:rsidR="00494435" w:rsidRPr="003A3F03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2E1A23" w:rsidRPr="003A3F03" w:rsidRDefault="002E1A23" w:rsidP="0086635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Термін дії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не обмежений у часі.</w:t>
      </w:r>
    </w:p>
    <w:p w:rsidR="002E1A23" w:rsidRPr="003A3F03" w:rsidRDefault="002E1A23" w:rsidP="002E1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lastRenderedPageBreak/>
        <w:t xml:space="preserve">Зміна терміну дії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можлива в разі зміни нормативно-правових актів, на вимогах яких базується проект</w:t>
      </w:r>
      <w:r w:rsidR="00866351">
        <w:rPr>
          <w:rFonts w:ascii="Times New Roman" w:hAnsi="Times New Roman"/>
          <w:sz w:val="28"/>
          <w:szCs w:val="28"/>
        </w:rPr>
        <w:t xml:space="preserve"> постанови</w:t>
      </w:r>
      <w:r w:rsidRPr="003A3F03">
        <w:rPr>
          <w:rFonts w:ascii="Times New Roman" w:hAnsi="Times New Roman"/>
          <w:sz w:val="28"/>
          <w:szCs w:val="28"/>
        </w:rPr>
        <w:t xml:space="preserve">. </w:t>
      </w:r>
    </w:p>
    <w:p w:rsidR="006E5C00" w:rsidRPr="003A3F03" w:rsidRDefault="00911CFE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частини третьої статті 9 Закону України «Про ліцензування видів господарської діяльності» р</w:t>
      </w:r>
      <w:r w:rsidR="006E5C00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егуляторний акт набирає чинності </w:t>
      </w:r>
      <w:r w:rsidR="006E5C00" w:rsidRPr="003A3F03">
        <w:rPr>
          <w:rFonts w:ascii="Times New Roman" w:hAnsi="Times New Roman"/>
          <w:color w:val="000000"/>
          <w:sz w:val="28"/>
          <w:szCs w:val="28"/>
        </w:rPr>
        <w:t xml:space="preserve">через два місяця з дня </w:t>
      </w:r>
      <w:r w:rsidR="00A34B65" w:rsidRPr="003A3F03">
        <w:rPr>
          <w:rFonts w:ascii="Times New Roman" w:hAnsi="Times New Roman"/>
          <w:color w:val="000000"/>
          <w:sz w:val="28"/>
          <w:szCs w:val="28"/>
        </w:rPr>
        <w:t>його</w:t>
      </w:r>
      <w:r w:rsidR="006E5C00" w:rsidRPr="003A3F03">
        <w:rPr>
          <w:rFonts w:ascii="Times New Roman" w:hAnsi="Times New Roman"/>
          <w:color w:val="000000"/>
          <w:sz w:val="28"/>
          <w:szCs w:val="28"/>
        </w:rPr>
        <w:t xml:space="preserve"> офіційного опублікування.</w:t>
      </w:r>
    </w:p>
    <w:p w:rsidR="009E0573" w:rsidRPr="003A3F0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843382" w:rsidRPr="003A3F03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VIII</w:t>
      </w:r>
      <w:r w:rsidR="00494435" w:rsidRPr="003A3F03">
        <w:rPr>
          <w:b/>
          <w:color w:val="auto"/>
          <w:sz w:val="28"/>
          <w:szCs w:val="28"/>
          <w:lang w:val="uk-UA"/>
        </w:rPr>
        <w:t xml:space="preserve">. Визначення показників результативності дії регуляторного </w:t>
      </w:r>
      <w:proofErr w:type="spellStart"/>
      <w:r w:rsidR="00494435" w:rsidRPr="003A3F03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C62A21" w:rsidRPr="003A3F03" w:rsidRDefault="00C62A21" w:rsidP="0086635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Виходячи з цілей державного регулювання, визначених у розділі ІІ аналізу регуляторного впливу, для відстеження результативності цього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обрано такі показники:</w:t>
      </w:r>
    </w:p>
    <w:p w:rsidR="00C62A21" w:rsidRPr="003A3F03" w:rsidRDefault="00824D27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F03">
        <w:rPr>
          <w:color w:val="000000"/>
          <w:sz w:val="28"/>
          <w:szCs w:val="28"/>
          <w:shd w:val="clear" w:color="auto" w:fill="FFFFFF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3A3F03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3A3F03">
        <w:rPr>
          <w:color w:val="000000"/>
          <w:sz w:val="28"/>
          <w:szCs w:val="28"/>
          <w:shd w:val="clear" w:color="auto" w:fill="FFFFFF"/>
        </w:rPr>
        <w:t xml:space="preserve"> –</w:t>
      </w:r>
      <w:r w:rsidR="00AC1EB8" w:rsidRPr="003A3F03">
        <w:rPr>
          <w:color w:val="000000"/>
          <w:sz w:val="28"/>
          <w:szCs w:val="28"/>
          <w:shd w:val="clear" w:color="auto" w:fill="FFFFFF"/>
        </w:rPr>
        <w:t xml:space="preserve"> прямих надходжень до державного та місцевих бюджетів не передбачається</w:t>
      </w:r>
      <w:r w:rsidR="00C62A21" w:rsidRPr="003A3F03">
        <w:rPr>
          <w:color w:val="000000"/>
          <w:sz w:val="28"/>
          <w:szCs w:val="28"/>
        </w:rPr>
        <w:t>;</w:t>
      </w:r>
    </w:p>
    <w:p w:rsidR="00C62A21" w:rsidRPr="003A3F03" w:rsidRDefault="00C62A21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n36"/>
      <w:bookmarkEnd w:id="1"/>
      <w:r w:rsidRPr="003A3F03">
        <w:rPr>
          <w:color w:val="000000"/>
          <w:sz w:val="28"/>
          <w:szCs w:val="28"/>
        </w:rPr>
        <w:t xml:space="preserve">кількість суб’єктів господарювання, на яких поширюватиметься дія </w:t>
      </w:r>
      <w:proofErr w:type="spellStart"/>
      <w:r w:rsidRPr="003A3F03">
        <w:rPr>
          <w:color w:val="000000"/>
          <w:sz w:val="28"/>
          <w:szCs w:val="28"/>
        </w:rPr>
        <w:t>акта</w:t>
      </w:r>
      <w:proofErr w:type="spellEnd"/>
      <w:r w:rsidR="00AC1EB8" w:rsidRPr="003A3F03">
        <w:rPr>
          <w:color w:val="000000"/>
          <w:sz w:val="28"/>
          <w:szCs w:val="28"/>
        </w:rPr>
        <w:t xml:space="preserve"> – </w:t>
      </w:r>
      <w:r w:rsidR="009950F4" w:rsidRPr="003A3F03">
        <w:rPr>
          <w:color w:val="000000"/>
          <w:sz w:val="28"/>
          <w:szCs w:val="28"/>
        </w:rPr>
        <w:t>6</w:t>
      </w:r>
      <w:r w:rsidR="00386AF9" w:rsidRPr="003A3F03">
        <w:rPr>
          <w:color w:val="000000"/>
          <w:sz w:val="28"/>
          <w:szCs w:val="28"/>
        </w:rPr>
        <w:t>7</w:t>
      </w:r>
      <w:r w:rsidR="00866351">
        <w:rPr>
          <w:color w:val="000000"/>
          <w:sz w:val="28"/>
          <w:szCs w:val="28"/>
        </w:rPr>
        <w:t>94</w:t>
      </w:r>
      <w:r w:rsidR="009950F4" w:rsidRPr="003A3F03">
        <w:rPr>
          <w:color w:val="000000"/>
          <w:sz w:val="28"/>
          <w:szCs w:val="28"/>
        </w:rPr>
        <w:t xml:space="preserve"> суб’єктів </w:t>
      </w:r>
      <w:r w:rsidR="00866351">
        <w:rPr>
          <w:color w:val="000000"/>
          <w:sz w:val="28"/>
          <w:szCs w:val="28"/>
        </w:rPr>
        <w:t>охоронної діяльності</w:t>
      </w:r>
      <w:r w:rsidRPr="003A3F03">
        <w:rPr>
          <w:color w:val="000000"/>
          <w:sz w:val="28"/>
          <w:szCs w:val="28"/>
        </w:rPr>
        <w:t>;</w:t>
      </w:r>
    </w:p>
    <w:p w:rsidR="00C62A21" w:rsidRPr="003A3F03" w:rsidRDefault="00C62A21" w:rsidP="00C62A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n37"/>
      <w:bookmarkEnd w:id="2"/>
      <w:r w:rsidRPr="003A3F03">
        <w:rPr>
          <w:color w:val="000000"/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</w:t>
      </w:r>
      <w:proofErr w:type="spellStart"/>
      <w:r w:rsidRPr="003A3F03">
        <w:rPr>
          <w:color w:val="000000"/>
          <w:sz w:val="28"/>
          <w:szCs w:val="28"/>
        </w:rPr>
        <w:t>акта</w:t>
      </w:r>
      <w:proofErr w:type="spellEnd"/>
      <w:r w:rsidR="002124A2" w:rsidRPr="003A3F03">
        <w:rPr>
          <w:color w:val="000000"/>
          <w:sz w:val="28"/>
          <w:szCs w:val="28"/>
        </w:rPr>
        <w:t xml:space="preserve"> – розрахунок розміру коштів і часу, що витрачатимуться суб’єктами господарювання, викладені у додатку до розділу </w:t>
      </w:r>
      <w:r w:rsidR="002124A2" w:rsidRPr="003A3F03">
        <w:rPr>
          <w:color w:val="000000"/>
          <w:sz w:val="28"/>
          <w:szCs w:val="28"/>
          <w:lang w:val="en-US"/>
        </w:rPr>
        <w:t>VI</w:t>
      </w:r>
      <w:r w:rsidR="002124A2" w:rsidRPr="003A3F03">
        <w:rPr>
          <w:color w:val="000000"/>
          <w:sz w:val="28"/>
          <w:szCs w:val="28"/>
        </w:rPr>
        <w:t xml:space="preserve"> цього аналізу регуляторного впливу</w:t>
      </w:r>
      <w:r w:rsidRPr="003A3F03">
        <w:rPr>
          <w:color w:val="000000"/>
          <w:sz w:val="28"/>
          <w:szCs w:val="28"/>
        </w:rPr>
        <w:t>;</w:t>
      </w:r>
    </w:p>
    <w:p w:rsidR="009950F4" w:rsidRPr="003A3F03" w:rsidRDefault="00C62A21" w:rsidP="00D10FD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38"/>
      <w:bookmarkEnd w:id="3"/>
      <w:r w:rsidRPr="003A3F03">
        <w:rPr>
          <w:color w:val="000000"/>
          <w:sz w:val="28"/>
          <w:szCs w:val="28"/>
        </w:rPr>
        <w:t xml:space="preserve">рівень поінформованості суб’єктів господарювання та/або фізичних осіб з основних положень </w:t>
      </w:r>
      <w:proofErr w:type="spellStart"/>
      <w:r w:rsidRPr="003A3F03">
        <w:rPr>
          <w:color w:val="000000"/>
          <w:sz w:val="28"/>
          <w:szCs w:val="28"/>
        </w:rPr>
        <w:t>акта</w:t>
      </w:r>
      <w:proofErr w:type="spellEnd"/>
      <w:r w:rsidR="009950F4" w:rsidRPr="003A3F03">
        <w:rPr>
          <w:color w:val="000000"/>
          <w:sz w:val="28"/>
          <w:szCs w:val="28"/>
        </w:rPr>
        <w:t xml:space="preserve"> – </w:t>
      </w:r>
      <w:r w:rsidR="00D10FD6" w:rsidRPr="003A3F03">
        <w:rPr>
          <w:color w:val="000000"/>
          <w:sz w:val="28"/>
          <w:szCs w:val="28"/>
        </w:rPr>
        <w:t>середній</w:t>
      </w:r>
      <w:r w:rsidR="009950F4" w:rsidRPr="003A3F03">
        <w:rPr>
          <w:color w:val="000000"/>
          <w:sz w:val="28"/>
          <w:szCs w:val="28"/>
        </w:rPr>
        <w:t>.</w:t>
      </w:r>
      <w:r w:rsidR="00D10FD6" w:rsidRPr="003A3F03">
        <w:rPr>
          <w:color w:val="000000"/>
          <w:sz w:val="28"/>
          <w:szCs w:val="28"/>
        </w:rPr>
        <w:t xml:space="preserve"> </w:t>
      </w:r>
      <w:r w:rsidR="009950F4" w:rsidRPr="003A3F03">
        <w:rPr>
          <w:sz w:val="28"/>
          <w:szCs w:val="28"/>
        </w:rPr>
        <w:t>Проект постанови та аналіз регуляторного впливу до нього оприлюднено на офіційному веб-сайті М</w:t>
      </w:r>
      <w:r w:rsidR="005F1619" w:rsidRPr="003A3F03">
        <w:rPr>
          <w:sz w:val="28"/>
          <w:szCs w:val="28"/>
        </w:rPr>
        <w:t xml:space="preserve">ВС </w:t>
      </w:r>
      <w:r w:rsidR="009950F4" w:rsidRPr="003A3F03">
        <w:rPr>
          <w:sz w:val="28"/>
          <w:szCs w:val="28"/>
        </w:rPr>
        <w:t>у підр</w:t>
      </w:r>
      <w:r w:rsidR="00866351">
        <w:rPr>
          <w:sz w:val="28"/>
          <w:szCs w:val="28"/>
        </w:rPr>
        <w:t xml:space="preserve">озділі </w:t>
      </w:r>
      <w:r w:rsidR="009950F4" w:rsidRPr="003A3F03">
        <w:rPr>
          <w:sz w:val="28"/>
          <w:szCs w:val="28"/>
        </w:rPr>
        <w:t xml:space="preserve">  «Проекти нормативних актів» р</w:t>
      </w:r>
      <w:r w:rsidR="00866351">
        <w:rPr>
          <w:sz w:val="28"/>
          <w:szCs w:val="28"/>
        </w:rPr>
        <w:t>озділу</w:t>
      </w:r>
      <w:r w:rsidR="009950F4" w:rsidRPr="003A3F03">
        <w:rPr>
          <w:sz w:val="28"/>
          <w:szCs w:val="28"/>
        </w:rPr>
        <w:t xml:space="preserve"> «Нормативна база МВС».</w:t>
      </w:r>
    </w:p>
    <w:p w:rsidR="00D10FD6" w:rsidRPr="003A3F03" w:rsidRDefault="00D10FD6" w:rsidP="00D10FD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3F03">
        <w:rPr>
          <w:sz w:val="28"/>
          <w:szCs w:val="28"/>
        </w:rPr>
        <w:t xml:space="preserve">Додатковими </w:t>
      </w:r>
      <w:r w:rsidRPr="003A3F03">
        <w:rPr>
          <w:color w:val="000000"/>
          <w:sz w:val="28"/>
          <w:szCs w:val="28"/>
          <w:shd w:val="clear" w:color="auto" w:fill="FFFFFF"/>
        </w:rPr>
        <w:t xml:space="preserve">показниками результативності регуляторного </w:t>
      </w:r>
      <w:proofErr w:type="spellStart"/>
      <w:r w:rsidRPr="003A3F03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3A3F03">
        <w:rPr>
          <w:color w:val="000000"/>
          <w:sz w:val="28"/>
          <w:szCs w:val="28"/>
          <w:shd w:val="clear" w:color="auto" w:fill="FFFFFF"/>
        </w:rPr>
        <w:t xml:space="preserve"> є:</w:t>
      </w:r>
    </w:p>
    <w:p w:rsidR="003C7285" w:rsidRPr="003A3F03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кількість пропозицій та клопотань фізичних і юридичних осіб</w:t>
      </w:r>
      <w:r w:rsidR="00D10FD6" w:rsidRPr="003A3F03">
        <w:rPr>
          <w:rFonts w:ascii="Times New Roman" w:hAnsi="Times New Roman"/>
          <w:sz w:val="28"/>
          <w:szCs w:val="28"/>
        </w:rPr>
        <w:t xml:space="preserve">, їх об’єднань </w:t>
      </w:r>
      <w:r w:rsidRPr="003A3F03">
        <w:rPr>
          <w:rFonts w:ascii="Times New Roman" w:hAnsi="Times New Roman"/>
          <w:sz w:val="28"/>
          <w:szCs w:val="28"/>
        </w:rPr>
        <w:t xml:space="preserve"> щодо </w:t>
      </w:r>
      <w:r w:rsidR="00D10FD6" w:rsidRPr="003A3F03">
        <w:rPr>
          <w:rFonts w:ascii="Times New Roman" w:hAnsi="Times New Roman"/>
          <w:sz w:val="28"/>
          <w:szCs w:val="28"/>
        </w:rPr>
        <w:t xml:space="preserve">перегляду </w:t>
      </w:r>
      <w:r w:rsidRPr="003A3F03">
        <w:rPr>
          <w:rFonts w:ascii="Times New Roman" w:hAnsi="Times New Roman"/>
          <w:sz w:val="28"/>
          <w:szCs w:val="28"/>
        </w:rPr>
        <w:t xml:space="preserve">норм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>;</w:t>
      </w:r>
    </w:p>
    <w:p w:rsidR="00D10FD6" w:rsidRPr="003A3F03" w:rsidRDefault="00C02AEF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кількість скарг </w:t>
      </w:r>
      <w:r w:rsidR="009C67F6" w:rsidRPr="003A3F03">
        <w:rPr>
          <w:rFonts w:ascii="Times New Roman" w:hAnsi="Times New Roman"/>
          <w:sz w:val="28"/>
          <w:szCs w:val="28"/>
        </w:rPr>
        <w:t xml:space="preserve">громадян, суб’єктів господарювання та інших осіб щодо проблем, які виникають при застосуванні </w:t>
      </w:r>
      <w:r w:rsidR="00866351">
        <w:rPr>
          <w:rFonts w:ascii="Times New Roman" w:hAnsi="Times New Roman"/>
          <w:sz w:val="28"/>
          <w:szCs w:val="28"/>
        </w:rPr>
        <w:t xml:space="preserve">(реалізації) вимог </w:t>
      </w:r>
      <w:r w:rsidR="009C67F6" w:rsidRPr="003A3F03">
        <w:rPr>
          <w:rFonts w:ascii="Times New Roman" w:hAnsi="Times New Roman"/>
          <w:sz w:val="28"/>
          <w:szCs w:val="28"/>
        </w:rPr>
        <w:t xml:space="preserve">регуляторного </w:t>
      </w:r>
      <w:proofErr w:type="spellStart"/>
      <w:r w:rsidR="009C67F6"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435" w:rsidRPr="003A3F03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5931" w:rsidRPr="003A3F03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IX</w:t>
      </w:r>
      <w:r w:rsidR="00494435" w:rsidRPr="003A3F03">
        <w:rPr>
          <w:b/>
          <w:color w:val="auto"/>
          <w:sz w:val="28"/>
          <w:szCs w:val="28"/>
          <w:lang w:val="uk-UA"/>
        </w:rPr>
        <w:t xml:space="preserve">. Визначення заходів, за допомогою яких здійснюватиметься відстеження результативності дії регуляторного </w:t>
      </w:r>
      <w:proofErr w:type="spellStart"/>
      <w:r w:rsidR="00494435" w:rsidRPr="003A3F03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875ED2" w:rsidRPr="003A3F03" w:rsidRDefault="00875ED2" w:rsidP="00C65D8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буде здійснено </w:t>
      </w:r>
      <w:r w:rsidR="0087380A" w:rsidRPr="003A3F03">
        <w:rPr>
          <w:rFonts w:ascii="Times New Roman" w:hAnsi="Times New Roman"/>
          <w:bCs/>
          <w:sz w:val="28"/>
          <w:szCs w:val="28"/>
        </w:rPr>
        <w:t>протягом 11 місяців після набрання чинності регуляторним актом, але не пізніше ніж через 12 місяців з дня набрання чинності цим актом</w:t>
      </w:r>
      <w:r w:rsidRPr="003A3F03">
        <w:rPr>
          <w:rFonts w:ascii="Times New Roman" w:hAnsi="Times New Roman"/>
          <w:bCs/>
          <w:sz w:val="28"/>
          <w:szCs w:val="28"/>
        </w:rPr>
        <w:t>.</w:t>
      </w:r>
    </w:p>
    <w:p w:rsidR="0087380A" w:rsidRPr="003A3F03" w:rsidRDefault="00875ED2" w:rsidP="001E2FF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>Повторне відстеження</w:t>
      </w:r>
      <w:r w:rsidR="0087380A" w:rsidRPr="003A3F03">
        <w:rPr>
          <w:rFonts w:ascii="Times New Roman" w:hAnsi="Times New Roman"/>
          <w:bCs/>
          <w:sz w:val="28"/>
          <w:szCs w:val="28"/>
        </w:rPr>
        <w:t xml:space="preserve"> результативності регуляторного </w:t>
      </w:r>
      <w:proofErr w:type="spellStart"/>
      <w:r w:rsidR="0087380A"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87380A" w:rsidRPr="003A3F03">
        <w:rPr>
          <w:rFonts w:ascii="Times New Roman" w:hAnsi="Times New Roman"/>
          <w:bCs/>
          <w:sz w:val="28"/>
          <w:szCs w:val="28"/>
        </w:rPr>
        <w:t xml:space="preserve"> планується здійснити через рік після базового відстеження цього </w:t>
      </w:r>
      <w:proofErr w:type="spellStart"/>
      <w:r w:rsidR="0087380A"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87380A" w:rsidRPr="003A3F03">
        <w:rPr>
          <w:rFonts w:ascii="Times New Roman" w:hAnsi="Times New Roman"/>
          <w:bCs/>
          <w:sz w:val="28"/>
          <w:szCs w:val="28"/>
        </w:rPr>
        <w:t>.</w:t>
      </w:r>
    </w:p>
    <w:p w:rsidR="001370F8" w:rsidRPr="003A3F03" w:rsidRDefault="00875ED2" w:rsidP="001E2FF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Періодичні відстеження </w:t>
      </w:r>
      <w:r w:rsidR="0087380A" w:rsidRPr="003A3F03">
        <w:rPr>
          <w:rFonts w:ascii="Times New Roman" w:hAnsi="Times New Roman"/>
          <w:bCs/>
          <w:sz w:val="28"/>
          <w:szCs w:val="28"/>
        </w:rPr>
        <w:t xml:space="preserve">результативності регуляторного </w:t>
      </w:r>
      <w:proofErr w:type="spellStart"/>
      <w:r w:rsidR="0087380A"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87380A" w:rsidRPr="003A3F03">
        <w:rPr>
          <w:rFonts w:ascii="Times New Roman" w:hAnsi="Times New Roman"/>
          <w:bCs/>
          <w:sz w:val="28"/>
          <w:szCs w:val="28"/>
        </w:rPr>
        <w:t xml:space="preserve"> будуть </w:t>
      </w:r>
      <w:r w:rsidRPr="003A3F03">
        <w:rPr>
          <w:rFonts w:ascii="Times New Roman" w:hAnsi="Times New Roman"/>
          <w:bCs/>
          <w:sz w:val="28"/>
          <w:szCs w:val="28"/>
        </w:rPr>
        <w:t>здійснювати</w:t>
      </w:r>
      <w:r w:rsidR="0087380A" w:rsidRPr="003A3F03">
        <w:rPr>
          <w:rFonts w:ascii="Times New Roman" w:hAnsi="Times New Roman"/>
          <w:bCs/>
          <w:sz w:val="28"/>
          <w:szCs w:val="28"/>
        </w:rPr>
        <w:t>ся</w:t>
      </w:r>
      <w:r w:rsidRPr="003A3F03">
        <w:rPr>
          <w:rFonts w:ascii="Times New Roman" w:hAnsi="Times New Roman"/>
          <w:bCs/>
          <w:sz w:val="28"/>
          <w:szCs w:val="28"/>
        </w:rPr>
        <w:t xml:space="preserve"> раз на кожні три роки починаючи з дня закінчення заходів з повторного відстеження.</w:t>
      </w:r>
      <w:r w:rsidR="00FF5599" w:rsidRPr="003A3F03">
        <w:rPr>
          <w:rFonts w:ascii="Times New Roman" w:hAnsi="Times New Roman"/>
          <w:bCs/>
          <w:sz w:val="28"/>
          <w:szCs w:val="28"/>
        </w:rPr>
        <w:t xml:space="preserve"> Метод відстеження – </w:t>
      </w:r>
      <w:r w:rsidRPr="003A3F03">
        <w:rPr>
          <w:rFonts w:ascii="Times New Roman" w:hAnsi="Times New Roman"/>
          <w:bCs/>
          <w:sz w:val="28"/>
          <w:szCs w:val="28"/>
        </w:rPr>
        <w:t>аналіз статистичних даних та кількісних показників</w:t>
      </w:r>
      <w:r w:rsidR="001370F8"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Pr="003A3F03" w:rsidRDefault="00494435" w:rsidP="001E2FF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3A3F03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D8C" w:rsidRDefault="00494435" w:rsidP="00494435">
      <w:pPr>
        <w:pStyle w:val="a7"/>
        <w:rPr>
          <w:b/>
          <w:szCs w:val="28"/>
        </w:rPr>
      </w:pPr>
      <w:r w:rsidRPr="003A3F03">
        <w:rPr>
          <w:b/>
          <w:szCs w:val="28"/>
        </w:rPr>
        <w:t xml:space="preserve">Міністр </w:t>
      </w:r>
    </w:p>
    <w:p w:rsidR="00494435" w:rsidRPr="003A3F03" w:rsidRDefault="00494435" w:rsidP="00494435">
      <w:pPr>
        <w:pStyle w:val="a7"/>
        <w:rPr>
          <w:szCs w:val="28"/>
        </w:rPr>
      </w:pPr>
      <w:r w:rsidRPr="003A3F03">
        <w:rPr>
          <w:b/>
          <w:szCs w:val="28"/>
        </w:rPr>
        <w:t xml:space="preserve">внутрішніх справ України                                                  </w:t>
      </w:r>
      <w:r w:rsidR="00C65D8C">
        <w:rPr>
          <w:b/>
          <w:szCs w:val="28"/>
        </w:rPr>
        <w:t xml:space="preserve">            </w:t>
      </w:r>
      <w:r w:rsidRPr="003A3F03">
        <w:rPr>
          <w:b/>
          <w:szCs w:val="28"/>
        </w:rPr>
        <w:t xml:space="preserve"> А</w:t>
      </w:r>
      <w:r w:rsidR="00C65D8C">
        <w:rPr>
          <w:b/>
          <w:szCs w:val="28"/>
        </w:rPr>
        <w:t>рсен</w:t>
      </w:r>
      <w:r w:rsidRPr="003A3F03">
        <w:rPr>
          <w:b/>
          <w:szCs w:val="28"/>
        </w:rPr>
        <w:t xml:space="preserve"> </w:t>
      </w:r>
      <w:proofErr w:type="spellStart"/>
      <w:r w:rsidRPr="003A3F03">
        <w:rPr>
          <w:b/>
          <w:szCs w:val="28"/>
        </w:rPr>
        <w:t>Аваков</w:t>
      </w:r>
      <w:proofErr w:type="spellEnd"/>
      <w:r w:rsidRPr="003A3F03">
        <w:rPr>
          <w:b/>
          <w:szCs w:val="28"/>
        </w:rPr>
        <w:t xml:space="preserve">                                                                                         </w:t>
      </w:r>
    </w:p>
    <w:p w:rsidR="00494435" w:rsidRPr="003A3F03" w:rsidRDefault="00494435" w:rsidP="00494435">
      <w:pPr>
        <w:pStyle w:val="a7"/>
        <w:rPr>
          <w:szCs w:val="28"/>
        </w:rPr>
      </w:pPr>
    </w:p>
    <w:p w:rsidR="004F089E" w:rsidRPr="003A3F03" w:rsidRDefault="00494435" w:rsidP="00C87DDD">
      <w:pPr>
        <w:pStyle w:val="a7"/>
        <w:rPr>
          <w:szCs w:val="28"/>
        </w:rPr>
      </w:pPr>
      <w:r w:rsidRPr="003A3F03">
        <w:rPr>
          <w:szCs w:val="28"/>
        </w:rPr>
        <w:t>____.</w:t>
      </w:r>
      <w:r w:rsidR="00E13E40" w:rsidRPr="003A3F03">
        <w:rPr>
          <w:szCs w:val="28"/>
        </w:rPr>
        <w:t>____.2018</w:t>
      </w:r>
    </w:p>
    <w:sectPr w:rsidR="004F089E" w:rsidRPr="003A3F03" w:rsidSect="003177CF">
      <w:headerReference w:type="default" r:id="rId9"/>
      <w:pgSz w:w="11906" w:h="16838"/>
      <w:pgMar w:top="851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8" w:rsidRDefault="00852228">
      <w:pPr>
        <w:spacing w:after="0" w:line="240" w:lineRule="auto"/>
      </w:pPr>
      <w:r>
        <w:separator/>
      </w:r>
    </w:p>
  </w:endnote>
  <w:endnote w:type="continuationSeparator" w:id="0">
    <w:p w:rsidR="00852228" w:rsidRDefault="0085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8" w:rsidRDefault="00852228">
      <w:pPr>
        <w:spacing w:after="0" w:line="240" w:lineRule="auto"/>
      </w:pPr>
      <w:r>
        <w:separator/>
      </w:r>
    </w:p>
  </w:footnote>
  <w:footnote w:type="continuationSeparator" w:id="0">
    <w:p w:rsidR="00852228" w:rsidRDefault="0085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1B4D65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3177CF">
      <w:rPr>
        <w:rFonts w:ascii="Times New Roman" w:hAnsi="Times New Roman"/>
        <w:noProof/>
        <w:sz w:val="24"/>
        <w:szCs w:val="24"/>
      </w:rPr>
      <w:t>8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464"/>
    <w:multiLevelType w:val="multilevel"/>
    <w:tmpl w:val="36E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05FC7"/>
    <w:rsid w:val="0001545E"/>
    <w:rsid w:val="00020DE9"/>
    <w:rsid w:val="00022763"/>
    <w:rsid w:val="00042887"/>
    <w:rsid w:val="000723D9"/>
    <w:rsid w:val="00073B40"/>
    <w:rsid w:val="00082C4D"/>
    <w:rsid w:val="00084229"/>
    <w:rsid w:val="000918B5"/>
    <w:rsid w:val="000971C6"/>
    <w:rsid w:val="000977D2"/>
    <w:rsid w:val="00097DE1"/>
    <w:rsid w:val="000A40CE"/>
    <w:rsid w:val="000A60B8"/>
    <w:rsid w:val="000B60AF"/>
    <w:rsid w:val="000C5660"/>
    <w:rsid w:val="000C6FA9"/>
    <w:rsid w:val="000D6E7D"/>
    <w:rsid w:val="000D6F43"/>
    <w:rsid w:val="000D7CD1"/>
    <w:rsid w:val="000E0C7E"/>
    <w:rsid w:val="000E358D"/>
    <w:rsid w:val="000F3C0F"/>
    <w:rsid w:val="000F3EAC"/>
    <w:rsid w:val="00107058"/>
    <w:rsid w:val="001370F8"/>
    <w:rsid w:val="00145D5F"/>
    <w:rsid w:val="00150CB0"/>
    <w:rsid w:val="00157A38"/>
    <w:rsid w:val="00162D05"/>
    <w:rsid w:val="001949D6"/>
    <w:rsid w:val="001A5E31"/>
    <w:rsid w:val="001B2BD9"/>
    <w:rsid w:val="001B47E5"/>
    <w:rsid w:val="001B4D65"/>
    <w:rsid w:val="001E2FF5"/>
    <w:rsid w:val="001F5CA2"/>
    <w:rsid w:val="001F7D21"/>
    <w:rsid w:val="002124A2"/>
    <w:rsid w:val="002163C5"/>
    <w:rsid w:val="00225654"/>
    <w:rsid w:val="00233B5F"/>
    <w:rsid w:val="0023442A"/>
    <w:rsid w:val="0023745E"/>
    <w:rsid w:val="00256311"/>
    <w:rsid w:val="00270FAD"/>
    <w:rsid w:val="002724A0"/>
    <w:rsid w:val="00272CD3"/>
    <w:rsid w:val="0027610B"/>
    <w:rsid w:val="00281EF7"/>
    <w:rsid w:val="00287E39"/>
    <w:rsid w:val="00294680"/>
    <w:rsid w:val="002A0D7E"/>
    <w:rsid w:val="002C39A8"/>
    <w:rsid w:val="002D44F9"/>
    <w:rsid w:val="002D763B"/>
    <w:rsid w:val="002D7A35"/>
    <w:rsid w:val="002E1A23"/>
    <w:rsid w:val="002E6456"/>
    <w:rsid w:val="002F07FF"/>
    <w:rsid w:val="002F1318"/>
    <w:rsid w:val="002F3C1B"/>
    <w:rsid w:val="002F5340"/>
    <w:rsid w:val="003038C3"/>
    <w:rsid w:val="00310444"/>
    <w:rsid w:val="0031672F"/>
    <w:rsid w:val="003177CF"/>
    <w:rsid w:val="00326E8D"/>
    <w:rsid w:val="003369B3"/>
    <w:rsid w:val="00337DA1"/>
    <w:rsid w:val="00337F43"/>
    <w:rsid w:val="0036177E"/>
    <w:rsid w:val="00366493"/>
    <w:rsid w:val="00367769"/>
    <w:rsid w:val="00373E39"/>
    <w:rsid w:val="0037692E"/>
    <w:rsid w:val="00382847"/>
    <w:rsid w:val="00386AF9"/>
    <w:rsid w:val="00386DF9"/>
    <w:rsid w:val="003874D8"/>
    <w:rsid w:val="003A3F03"/>
    <w:rsid w:val="003B5931"/>
    <w:rsid w:val="003C7285"/>
    <w:rsid w:val="003D23A8"/>
    <w:rsid w:val="003E2C21"/>
    <w:rsid w:val="003E7B90"/>
    <w:rsid w:val="003F32C2"/>
    <w:rsid w:val="003F39FB"/>
    <w:rsid w:val="003F4029"/>
    <w:rsid w:val="003F7A3C"/>
    <w:rsid w:val="0041662C"/>
    <w:rsid w:val="00457DE9"/>
    <w:rsid w:val="00460AC3"/>
    <w:rsid w:val="00471FE5"/>
    <w:rsid w:val="00473EFE"/>
    <w:rsid w:val="00480C10"/>
    <w:rsid w:val="00482846"/>
    <w:rsid w:val="00494435"/>
    <w:rsid w:val="00495873"/>
    <w:rsid w:val="00496A04"/>
    <w:rsid w:val="004A2147"/>
    <w:rsid w:val="004A3A7A"/>
    <w:rsid w:val="004A4E3D"/>
    <w:rsid w:val="004B0D69"/>
    <w:rsid w:val="004B0D77"/>
    <w:rsid w:val="004B18CC"/>
    <w:rsid w:val="004B263D"/>
    <w:rsid w:val="004C5CF4"/>
    <w:rsid w:val="004C5DAA"/>
    <w:rsid w:val="004D37ED"/>
    <w:rsid w:val="004F089E"/>
    <w:rsid w:val="0051545D"/>
    <w:rsid w:val="00516111"/>
    <w:rsid w:val="005206C0"/>
    <w:rsid w:val="00544AA8"/>
    <w:rsid w:val="00547B6C"/>
    <w:rsid w:val="005619C6"/>
    <w:rsid w:val="0056461E"/>
    <w:rsid w:val="00570BD4"/>
    <w:rsid w:val="005A17B6"/>
    <w:rsid w:val="005A5C0E"/>
    <w:rsid w:val="005C270E"/>
    <w:rsid w:val="005C4BFF"/>
    <w:rsid w:val="005D0C43"/>
    <w:rsid w:val="005D0F90"/>
    <w:rsid w:val="005D4768"/>
    <w:rsid w:val="005D6293"/>
    <w:rsid w:val="005E21E9"/>
    <w:rsid w:val="005E2B35"/>
    <w:rsid w:val="005F1619"/>
    <w:rsid w:val="00632273"/>
    <w:rsid w:val="00637860"/>
    <w:rsid w:val="0065129B"/>
    <w:rsid w:val="0066706D"/>
    <w:rsid w:val="006711FF"/>
    <w:rsid w:val="006749FA"/>
    <w:rsid w:val="00693345"/>
    <w:rsid w:val="00694156"/>
    <w:rsid w:val="00696E14"/>
    <w:rsid w:val="006A08BB"/>
    <w:rsid w:val="006B4384"/>
    <w:rsid w:val="006C3FF8"/>
    <w:rsid w:val="006D1742"/>
    <w:rsid w:val="006E0E22"/>
    <w:rsid w:val="006E5C00"/>
    <w:rsid w:val="006F18FA"/>
    <w:rsid w:val="006F4461"/>
    <w:rsid w:val="00713783"/>
    <w:rsid w:val="00727820"/>
    <w:rsid w:val="00737A82"/>
    <w:rsid w:val="00744661"/>
    <w:rsid w:val="007578F4"/>
    <w:rsid w:val="00784075"/>
    <w:rsid w:val="007845BC"/>
    <w:rsid w:val="0078481E"/>
    <w:rsid w:val="0079325D"/>
    <w:rsid w:val="007A0C5E"/>
    <w:rsid w:val="007B1D99"/>
    <w:rsid w:val="007B311D"/>
    <w:rsid w:val="007C251F"/>
    <w:rsid w:val="007C2D2A"/>
    <w:rsid w:val="007E0292"/>
    <w:rsid w:val="007F6959"/>
    <w:rsid w:val="00800557"/>
    <w:rsid w:val="0082437C"/>
    <w:rsid w:val="00824D27"/>
    <w:rsid w:val="00843382"/>
    <w:rsid w:val="00852228"/>
    <w:rsid w:val="0086002A"/>
    <w:rsid w:val="00863E16"/>
    <w:rsid w:val="00865678"/>
    <w:rsid w:val="00866351"/>
    <w:rsid w:val="00867A7C"/>
    <w:rsid w:val="0087380A"/>
    <w:rsid w:val="00875ED2"/>
    <w:rsid w:val="00885DB4"/>
    <w:rsid w:val="0088620F"/>
    <w:rsid w:val="0089064D"/>
    <w:rsid w:val="00894004"/>
    <w:rsid w:val="0089539B"/>
    <w:rsid w:val="00897998"/>
    <w:rsid w:val="008A3387"/>
    <w:rsid w:val="008C542B"/>
    <w:rsid w:val="008D2D9A"/>
    <w:rsid w:val="008D5A55"/>
    <w:rsid w:val="008E5EC2"/>
    <w:rsid w:val="00906C19"/>
    <w:rsid w:val="00911CFE"/>
    <w:rsid w:val="00913CD0"/>
    <w:rsid w:val="009142E5"/>
    <w:rsid w:val="00930906"/>
    <w:rsid w:val="00942934"/>
    <w:rsid w:val="00945949"/>
    <w:rsid w:val="00945FB4"/>
    <w:rsid w:val="00986BFC"/>
    <w:rsid w:val="00994EC9"/>
    <w:rsid w:val="009950F4"/>
    <w:rsid w:val="00996068"/>
    <w:rsid w:val="009A7496"/>
    <w:rsid w:val="009B0C06"/>
    <w:rsid w:val="009B30A7"/>
    <w:rsid w:val="009B762E"/>
    <w:rsid w:val="009C67F6"/>
    <w:rsid w:val="009D4058"/>
    <w:rsid w:val="009D67BC"/>
    <w:rsid w:val="009D7C74"/>
    <w:rsid w:val="009E0573"/>
    <w:rsid w:val="00A005FF"/>
    <w:rsid w:val="00A0742C"/>
    <w:rsid w:val="00A23D6F"/>
    <w:rsid w:val="00A3222F"/>
    <w:rsid w:val="00A338B8"/>
    <w:rsid w:val="00A34340"/>
    <w:rsid w:val="00A34B65"/>
    <w:rsid w:val="00A5739B"/>
    <w:rsid w:val="00A5752D"/>
    <w:rsid w:val="00A60909"/>
    <w:rsid w:val="00A6299F"/>
    <w:rsid w:val="00A731CC"/>
    <w:rsid w:val="00AA2907"/>
    <w:rsid w:val="00AB18D7"/>
    <w:rsid w:val="00AC13CB"/>
    <w:rsid w:val="00AC1EB8"/>
    <w:rsid w:val="00AE3019"/>
    <w:rsid w:val="00AE4D4C"/>
    <w:rsid w:val="00AE6D2A"/>
    <w:rsid w:val="00AE72A1"/>
    <w:rsid w:val="00B00C74"/>
    <w:rsid w:val="00B05FF1"/>
    <w:rsid w:val="00B07A88"/>
    <w:rsid w:val="00B14151"/>
    <w:rsid w:val="00B5087C"/>
    <w:rsid w:val="00B5213A"/>
    <w:rsid w:val="00B52822"/>
    <w:rsid w:val="00B54788"/>
    <w:rsid w:val="00B54EF5"/>
    <w:rsid w:val="00B640B8"/>
    <w:rsid w:val="00B819D5"/>
    <w:rsid w:val="00B960D8"/>
    <w:rsid w:val="00B9623B"/>
    <w:rsid w:val="00BA0CDD"/>
    <w:rsid w:val="00BC1B9E"/>
    <w:rsid w:val="00BD5905"/>
    <w:rsid w:val="00BE27F3"/>
    <w:rsid w:val="00BF083F"/>
    <w:rsid w:val="00C02AEF"/>
    <w:rsid w:val="00C04C6D"/>
    <w:rsid w:val="00C152ED"/>
    <w:rsid w:val="00C22EB8"/>
    <w:rsid w:val="00C62A21"/>
    <w:rsid w:val="00C65D8C"/>
    <w:rsid w:val="00C84D9E"/>
    <w:rsid w:val="00C8643A"/>
    <w:rsid w:val="00C87DDD"/>
    <w:rsid w:val="00C911DF"/>
    <w:rsid w:val="00C93436"/>
    <w:rsid w:val="00CA5F1D"/>
    <w:rsid w:val="00CC0A53"/>
    <w:rsid w:val="00CD207E"/>
    <w:rsid w:val="00CE457A"/>
    <w:rsid w:val="00CE7338"/>
    <w:rsid w:val="00CF1ADB"/>
    <w:rsid w:val="00D0356A"/>
    <w:rsid w:val="00D06353"/>
    <w:rsid w:val="00D10FD6"/>
    <w:rsid w:val="00D20C15"/>
    <w:rsid w:val="00D221BF"/>
    <w:rsid w:val="00D250FD"/>
    <w:rsid w:val="00D43A87"/>
    <w:rsid w:val="00D56163"/>
    <w:rsid w:val="00D73B05"/>
    <w:rsid w:val="00D74072"/>
    <w:rsid w:val="00D8278E"/>
    <w:rsid w:val="00D8761A"/>
    <w:rsid w:val="00D91A44"/>
    <w:rsid w:val="00D93CDB"/>
    <w:rsid w:val="00D95A73"/>
    <w:rsid w:val="00D96E02"/>
    <w:rsid w:val="00DA7C3B"/>
    <w:rsid w:val="00DC28FC"/>
    <w:rsid w:val="00DC2985"/>
    <w:rsid w:val="00DD10A7"/>
    <w:rsid w:val="00DF214C"/>
    <w:rsid w:val="00DF60F9"/>
    <w:rsid w:val="00E13ABE"/>
    <w:rsid w:val="00E13E40"/>
    <w:rsid w:val="00E16319"/>
    <w:rsid w:val="00E2056E"/>
    <w:rsid w:val="00E245F5"/>
    <w:rsid w:val="00E308D0"/>
    <w:rsid w:val="00E315C2"/>
    <w:rsid w:val="00E32EBC"/>
    <w:rsid w:val="00E452DB"/>
    <w:rsid w:val="00E709F6"/>
    <w:rsid w:val="00E839CD"/>
    <w:rsid w:val="00E93E35"/>
    <w:rsid w:val="00E95E43"/>
    <w:rsid w:val="00EA72ED"/>
    <w:rsid w:val="00EB14DC"/>
    <w:rsid w:val="00EB6DA8"/>
    <w:rsid w:val="00EE06FF"/>
    <w:rsid w:val="00EE3A0C"/>
    <w:rsid w:val="00EE7CA0"/>
    <w:rsid w:val="00F00601"/>
    <w:rsid w:val="00F02AC2"/>
    <w:rsid w:val="00F0662D"/>
    <w:rsid w:val="00F105AE"/>
    <w:rsid w:val="00F151FB"/>
    <w:rsid w:val="00F1660C"/>
    <w:rsid w:val="00F22793"/>
    <w:rsid w:val="00F333D5"/>
    <w:rsid w:val="00F3417B"/>
    <w:rsid w:val="00F427F8"/>
    <w:rsid w:val="00F7194A"/>
    <w:rsid w:val="00F903CF"/>
    <w:rsid w:val="00F96344"/>
    <w:rsid w:val="00FA09FA"/>
    <w:rsid w:val="00FD2498"/>
    <w:rsid w:val="00FD4DEF"/>
    <w:rsid w:val="00FE2348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FB468"/>
  <w15:docId w15:val="{57FD0CD9-A671-49B5-A138-5991700F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paragraph" w:styleId="2">
    <w:name w:val="Body Text 2"/>
    <w:basedOn w:val="a"/>
    <w:link w:val="20"/>
    <w:rsid w:val="00D74072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D74072"/>
    <w:rPr>
      <w:rFonts w:eastAsia="Times New Roman" w:cs="Times New Roman"/>
      <w:szCs w:val="20"/>
      <w:lang w:val="x-none" w:eastAsia="ru-RU"/>
    </w:rPr>
  </w:style>
  <w:style w:type="character" w:styleId="ae">
    <w:name w:val="Hyperlink"/>
    <w:uiPriority w:val="99"/>
    <w:unhideWhenUsed/>
    <w:rsid w:val="00D06353"/>
    <w:rPr>
      <w:color w:val="0000FF"/>
      <w:u w:val="single"/>
    </w:rPr>
  </w:style>
  <w:style w:type="character" w:customStyle="1" w:styleId="rvts15">
    <w:name w:val="rvts15"/>
    <w:basedOn w:val="a0"/>
    <w:rsid w:val="0031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95_g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B8BC-4E22-415C-9AB5-97E21CF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303nachalnica</dc:creator>
  <cp:keywords/>
  <dc:description/>
  <cp:lastModifiedBy>user</cp:lastModifiedBy>
  <cp:revision>107</cp:revision>
  <cp:lastPrinted>2018-03-27T12:51:00Z</cp:lastPrinted>
  <dcterms:created xsi:type="dcterms:W3CDTF">2017-09-29T11:50:00Z</dcterms:created>
  <dcterms:modified xsi:type="dcterms:W3CDTF">2018-10-22T13:53:00Z</dcterms:modified>
</cp:coreProperties>
</file>