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298"/>
      </w:tblGrid>
      <w:tr w:rsidR="007C14E7" w:rsidRPr="007C14E7" w:rsidTr="0039164B">
        <w:tc>
          <w:tcPr>
            <w:tcW w:w="2292" w:type="pct"/>
            <w:shd w:val="clear" w:color="auto" w:fill="auto"/>
            <w:hideMark/>
          </w:tcPr>
          <w:p w:rsidR="007C14E7" w:rsidRPr="007C14E7" w:rsidRDefault="007C14E7" w:rsidP="00121CB1">
            <w:pPr>
              <w:pStyle w:val="ab"/>
              <w:rPr>
                <w:lang w:eastAsia="uk-UA"/>
              </w:rPr>
            </w:pPr>
            <w:bookmarkStart w:id="0" w:name="n25"/>
            <w:bookmarkEnd w:id="0"/>
          </w:p>
        </w:tc>
        <w:tc>
          <w:tcPr>
            <w:tcW w:w="2708" w:type="pct"/>
            <w:shd w:val="clear" w:color="auto" w:fill="auto"/>
            <w:hideMark/>
          </w:tcPr>
          <w:p w:rsidR="007C14E7" w:rsidRPr="00A12932" w:rsidRDefault="007C14E7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Додаток </w:t>
            </w:r>
            <w:r w:rsidR="003F010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7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br/>
              <w:t>до Типової навчальної програми</w:t>
            </w:r>
          </w:p>
          <w:p w:rsidR="00F126D2" w:rsidRPr="00386A02" w:rsidRDefault="00F126D2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</w:tbl>
    <w:p w:rsidR="007C14E7" w:rsidRDefault="007C14E7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26"/>
      <w:bookmarkEnd w:id="1"/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ТИПОВ</w:t>
      </w:r>
      <w:r w:rsidR="0022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ТЕМАТИЧН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ПРОГРАМА</w:t>
      </w:r>
      <w:r w:rsidRPr="007C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20-</w:t>
      </w:r>
      <w:r w:rsid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годинного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курс</w:t>
      </w:r>
      <w:r w:rsidR="00C15CF7">
        <w:rPr>
          <w:rFonts w:ascii="Times New Roman" w:hAnsi="Times New Roman" w:cs="Times New Roman"/>
          <w:b/>
          <w:sz w:val="28"/>
          <w:szCs w:val="28"/>
        </w:rPr>
        <w:t>у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="00DE1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водіїв транспортних засобів</w:t>
      </w:r>
      <w:r w:rsidR="0079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категорі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ї </w:t>
      </w:r>
      <w:r w:rsidR="003F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В, С, С1, </w:t>
      </w:r>
      <w:r w:rsidR="003F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D</w:t>
      </w:r>
      <w:r w:rsidR="003F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1F110E" w:rsidRPr="003D4404" w:rsidRDefault="001F110E" w:rsidP="003D4404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Типовий тематичний  план</w:t>
      </w:r>
    </w:p>
    <w:p w:rsidR="001F110E" w:rsidRDefault="001F110E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685"/>
      </w:tblGrid>
      <w:tr w:rsidR="00DD52BE" w:rsidRPr="00AD019D" w:rsidTr="00DD52BE">
        <w:trPr>
          <w:trHeight w:val="619"/>
        </w:trPr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AD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D52BE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перепідготовки</w:t>
            </w:r>
            <w:r w:rsidR="007C2B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</w:t>
            </w:r>
          </w:p>
          <w:p w:rsidR="00DD52BE" w:rsidRPr="00AD019D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</w:tr>
      <w:tr w:rsidR="001F110E" w:rsidRPr="00AD019D" w:rsidTr="00DD52BE"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10E" w:rsidRPr="00692F53" w:rsidRDefault="001F110E" w:rsidP="00F42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</w:t>
            </w:r>
            <w:r w:rsidR="003605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D019D"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70B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практичного модул</w:t>
            </w:r>
            <w:r w:rsidR="00F425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6F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ерування транспортними засобами категорії</w:t>
            </w:r>
            <w:r w:rsidR="006F39D5" w:rsidRPr="006F39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344043" w:rsidRPr="00344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В, С, С1, </w:t>
            </w:r>
            <w:r w:rsidR="00344043" w:rsidRPr="00344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D</w:t>
            </w:r>
            <w:r w:rsidR="00344043" w:rsidRPr="00344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228E8" w:rsidRDefault="00DD52BE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466940" w:rsidRDefault="00DD52BE" w:rsidP="0046694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40F7F">
              <w:rPr>
                <w:rFonts w:ascii="Times New Roman" w:hAnsi="Times New Roman" w:cs="Times New Roman"/>
                <w:sz w:val="27"/>
                <w:szCs w:val="27"/>
              </w:rPr>
              <w:t>Спеціальні положення стосовно категорі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  <w:r w:rsidR="0046694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E35C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6694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E35C7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6694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6694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66940" w:rsidRPr="0046694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272BE3" w:rsidRDefault="00C25427" w:rsidP="00913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Default="00DD52BE" w:rsidP="004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іспит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9228E8" w:rsidRDefault="00DD52BE" w:rsidP="003D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3D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136EF" w:rsidRDefault="00DD52BE" w:rsidP="0093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CB7BA3" w:rsidRPr="009136EF" w:rsidRDefault="00CB7BA3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22016" w:rsidRPr="006F58B9" w:rsidRDefault="003D4404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II</w:t>
      </w: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. </w:t>
      </w:r>
      <w:r w:rsidR="006F58B9" w:rsidRPr="006F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Типова тематична програма навчальних тем </w:t>
      </w:r>
    </w:p>
    <w:p w:rsidR="00680F44" w:rsidRPr="003D3A59" w:rsidRDefault="00680F44" w:rsidP="00680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570B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модуль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Програми.</w:t>
      </w:r>
    </w:p>
    <w:p w:rsidR="00631015" w:rsidRPr="003D3A59" w:rsidRDefault="00631015" w:rsidP="00BF4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56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Навчальний розділ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 к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ерування транспортними засобами категорі</w:t>
      </w:r>
      <w:r w:rsid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14DF" w:rsidRPr="0034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В, С, С1, </w:t>
      </w:r>
      <w:r w:rsidR="005014DF" w:rsidRPr="0034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D</w:t>
      </w:r>
      <w:r w:rsidR="005014DF" w:rsidRPr="0034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5FF" w:rsidRDefault="005465FF" w:rsidP="0054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3D4404" w:rsidRPr="00F42584" w:rsidRDefault="003D4404" w:rsidP="003D4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val="ru-RU" w:eastAsia="uk-UA"/>
        </w:rPr>
      </w:pPr>
      <w:r w:rsidRPr="006F39D5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Таблиця </w:t>
      </w:r>
      <w:r w:rsidR="005014DF" w:rsidRPr="00F42584">
        <w:rPr>
          <w:rFonts w:ascii="Times New Roman" w:eastAsia="Times New Roman" w:hAnsi="Times New Roman" w:cs="Times New Roman"/>
          <w:bCs/>
          <w:sz w:val="23"/>
          <w:szCs w:val="23"/>
          <w:lang w:val="ru-RU" w:eastAsia="uk-UA"/>
        </w:rPr>
        <w:t>1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558"/>
      </w:tblGrid>
      <w:tr w:rsidR="00C02C53" w:rsidRPr="005465FF" w:rsidTr="00850FB5">
        <w:trPr>
          <w:trHeight w:val="689"/>
        </w:trPr>
        <w:tc>
          <w:tcPr>
            <w:tcW w:w="6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570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тем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2147" w:rsidRDefault="00C02147" w:rsidP="00C0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79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перепідготовки з</w:t>
            </w:r>
          </w:p>
          <w:p w:rsidR="00C02C53" w:rsidRPr="003B79D0" w:rsidRDefault="00C02147" w:rsidP="00C0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Основи керування транспортним засобом</w:t>
            </w:r>
            <w:r w:rsidRPr="00071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дозволено проведення на тренажерах (за наявності))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Керування транспортним засобом на майданчику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2 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Керування транспортним засобом на автомобільних дорогах з низькою інтенсивністю руху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3D39C8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Керування транспортним засобом на автомобільній дорозі з високою інтенсивністю руху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3D39C8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 Керування транспортним засобом в особливих умовах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3D39C8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Удосконалення навичок керування транспортним засобом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25427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39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 w:rsidRPr="003D39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3D39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BB4FD8" w:rsidRDefault="00BB4FD8" w:rsidP="00BB4F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3101A" w:rsidRPr="00182770" w:rsidRDefault="00C7493F" w:rsidP="00D310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Основи керування транспортним засобом:</w:t>
      </w:r>
      <w:r w:rsidRPr="00182770">
        <w:rPr>
          <w:sz w:val="28"/>
          <w:szCs w:val="28"/>
        </w:rPr>
        <w:t xml:space="preserve"> Посадка водія в транспортний засіб. Ознайомлення із системами керування і сигналізації, контрольно-вимірювальними приладами. Правильне положення рук на рульовому колесі та ніг на педалях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Відр</w:t>
      </w:r>
      <w:r w:rsidRPr="00182770">
        <w:rPr>
          <w:sz w:val="28"/>
          <w:szCs w:val="28"/>
        </w:rPr>
        <w:t>егулювання</w:t>
      </w:r>
      <w:proofErr w:type="spellEnd"/>
      <w:r w:rsidRPr="00182770">
        <w:rPr>
          <w:sz w:val="28"/>
          <w:szCs w:val="28"/>
        </w:rPr>
        <w:t xml:space="preserve"> сидіння</w:t>
      </w:r>
      <w:r>
        <w:rPr>
          <w:sz w:val="28"/>
          <w:szCs w:val="28"/>
        </w:rPr>
        <w:t xml:space="preserve"> таким чином, щоб мати правильне положення сидячи.</w:t>
      </w:r>
      <w:r w:rsidRPr="001827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Відрегулювання</w:t>
      </w:r>
      <w:proofErr w:type="spellEnd"/>
      <w:r>
        <w:rPr>
          <w:sz w:val="28"/>
          <w:szCs w:val="28"/>
        </w:rPr>
        <w:t xml:space="preserve"> </w:t>
      </w:r>
      <w:r w:rsidRPr="00182770">
        <w:rPr>
          <w:sz w:val="28"/>
          <w:szCs w:val="28"/>
        </w:rPr>
        <w:t>дзеркал</w:t>
      </w:r>
      <w:r>
        <w:rPr>
          <w:sz w:val="28"/>
          <w:szCs w:val="28"/>
        </w:rPr>
        <w:t>а</w:t>
      </w:r>
      <w:r w:rsidRPr="00182770">
        <w:rPr>
          <w:sz w:val="28"/>
          <w:szCs w:val="28"/>
        </w:rPr>
        <w:t xml:space="preserve"> заднього виду, ременів безпеки</w:t>
      </w:r>
      <w:r>
        <w:rPr>
          <w:sz w:val="28"/>
          <w:szCs w:val="28"/>
        </w:rPr>
        <w:t xml:space="preserve">, підголівники (за наявності). Перевірити, чи зачинені двері. Вибірково перевірити стан шин, рульового керування, гальм, рідин (моторної оливи, охолоджувальної рідини, </w:t>
      </w:r>
      <w:proofErr w:type="spellStart"/>
      <w:r>
        <w:rPr>
          <w:sz w:val="28"/>
          <w:szCs w:val="28"/>
        </w:rPr>
        <w:t>рідини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склоомивача</w:t>
      </w:r>
      <w:proofErr w:type="spellEnd"/>
      <w:r>
        <w:rPr>
          <w:sz w:val="28"/>
          <w:szCs w:val="28"/>
        </w:rPr>
        <w:t xml:space="preserve"> тощо) фар, світловідбивачів, покажчиків повороту та звукового попереджувального сигналу. Перевірити гальмову систему з підсилювачем та систему рульового керування з підсилювачем, перевірити стан коліс, гайок кріплення </w:t>
      </w:r>
      <w:proofErr w:type="spellStart"/>
      <w:r>
        <w:rPr>
          <w:sz w:val="28"/>
          <w:szCs w:val="28"/>
        </w:rPr>
        <w:t>кліс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бризковиків</w:t>
      </w:r>
      <w:proofErr w:type="spellEnd"/>
      <w:r>
        <w:rPr>
          <w:sz w:val="28"/>
          <w:szCs w:val="28"/>
        </w:rPr>
        <w:t xml:space="preserve">, вітрового скла, вікон і склоочисників, рідин, перевірити й використовувати панель приладів, у тому числі й </w:t>
      </w:r>
      <w:proofErr w:type="spellStart"/>
      <w:r>
        <w:rPr>
          <w:sz w:val="28"/>
          <w:szCs w:val="28"/>
        </w:rPr>
        <w:t>реєструвальну</w:t>
      </w:r>
      <w:proofErr w:type="spellEnd"/>
      <w:r>
        <w:rPr>
          <w:sz w:val="28"/>
          <w:szCs w:val="28"/>
        </w:rPr>
        <w:t xml:space="preserve"> апаратуру. </w:t>
      </w:r>
      <w:r w:rsidRPr="00182770">
        <w:rPr>
          <w:sz w:val="28"/>
          <w:szCs w:val="28"/>
        </w:rPr>
        <w:t>Запуск двигуна. Спостереження за показаннями контрольно-вимірювальних приладів</w:t>
      </w:r>
      <w:r>
        <w:rPr>
          <w:sz w:val="28"/>
          <w:szCs w:val="28"/>
        </w:rPr>
        <w:t xml:space="preserve">. </w:t>
      </w:r>
      <w:r w:rsidRPr="00182770">
        <w:rPr>
          <w:sz w:val="28"/>
          <w:szCs w:val="28"/>
        </w:rPr>
        <w:t>Прийоми керування транспортним засобом</w:t>
      </w:r>
      <w:r>
        <w:rPr>
          <w:sz w:val="28"/>
          <w:szCs w:val="28"/>
        </w:rPr>
        <w:t xml:space="preserve">. </w:t>
      </w:r>
      <w:r w:rsidRPr="00182770">
        <w:rPr>
          <w:sz w:val="28"/>
          <w:szCs w:val="28"/>
        </w:rPr>
        <w:t>Рушання з місця, рух по прямій з перемиканням передач у висхідному і низхідному порядку. Регулювання швидкості руху. Повороти праворуч, ліворуч, гальмування, зупинка</w:t>
      </w:r>
      <w:r>
        <w:rPr>
          <w:sz w:val="28"/>
          <w:szCs w:val="28"/>
        </w:rPr>
        <w:t xml:space="preserve">. </w:t>
      </w:r>
      <w:r w:rsidRPr="00182770">
        <w:rPr>
          <w:sz w:val="28"/>
          <w:szCs w:val="28"/>
        </w:rPr>
        <w:t xml:space="preserve">Повороти керма праворуч, ліворуч двома руками, у тому числі </w:t>
      </w:r>
      <w:r>
        <w:rPr>
          <w:sz w:val="28"/>
          <w:szCs w:val="28"/>
        </w:rPr>
        <w:t>«</w:t>
      </w:r>
      <w:r w:rsidRPr="00182770">
        <w:rPr>
          <w:sz w:val="28"/>
          <w:szCs w:val="28"/>
        </w:rPr>
        <w:t>перехопленням</w:t>
      </w:r>
      <w:r>
        <w:rPr>
          <w:sz w:val="28"/>
          <w:szCs w:val="28"/>
        </w:rPr>
        <w:t>»</w:t>
      </w:r>
      <w:r w:rsidRPr="00182770">
        <w:rPr>
          <w:sz w:val="28"/>
          <w:szCs w:val="28"/>
        </w:rPr>
        <w:t>, правою або лівою рукою, збільшення кількості поворотів керма. Взаємодія систем керування перед початком руху, під час руху на різних передачах з розворотами, поворотами, повільне і термінове гальмування, зупинка. Рух заднім ходом. Розвороти в умовах необмеженого і обмеженого проїзду. Зупинка і стоянка</w:t>
      </w:r>
      <w:r>
        <w:rPr>
          <w:sz w:val="28"/>
          <w:szCs w:val="28"/>
        </w:rPr>
        <w:t>.</w:t>
      </w:r>
    </w:p>
    <w:p w:rsidR="00D3101A" w:rsidRPr="0070614A" w:rsidRDefault="00D3101A" w:rsidP="00D31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Керування транспортним засобом на майданчику: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до виїзду. Контрольний огляд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Запуск двигуна, перевірка показань контрольно-вимірювальних приладів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Рушання з місця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з невеликою швидкістю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з перемиканням передач у висхідному і низхідному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 заднім ходом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прямій або з поворотом праворуч або ліворуч з дотриманням правильної смуги руху. Розворот транспортного засобу з використанням передньої та задньої передач.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з різною швидкістю. Рух по прямій з перемиканням передач. Розгін. Перемикання передач у висхідному і низхідному порядку. Перемикання на нижчу передачу без дотримання послідовності виконання різних видів гальмування (повільне, екстрене, переривчасте)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 у різних напрямках. Повороти праворуч, ліворуч. Рух між перешкодами з поворотами праворуч, ліворуч. Рух заднім ходом з використанням різних способів стеження за дорогою (через заднє або бокове вікно, відкриті двері кабіни, за допомогою дзеркал заднього виду). Рух заднім ходом з поворотами праворуч, ліворуч в умовах необмеженого і обмеженого проїзду. Рух заднім ходом вздовж стіни, зупинка. Від'їзд від стіни. Рух заднім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ходом вгору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Виїзд на естакаду і з'їзд з неї переднім і заднім ходом. Зупинка під час руху переднім і заднім ходом, під кутом 45 град., 90 град., між двома транспортними засобами, розташованими на стоянці, узбіччі, перед стоп-лінією, біля визначеного орієнтира, дорожнього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Маневрування в умовах обмеженого проїзду. Рух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колійній дошці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переднім і заднім ходом. Поставлення транспортного засобу на стоянку, </w:t>
      </w:r>
      <w:r w:rsidR="00F4258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бокс. Рух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габаритному тунелю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 та з поворотом, переднім і заднім ходом Рух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вісімці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змійкою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переднім ходом. В'їзд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габаритного дворика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 і з поворотом, маневрування та виїзд з нього. Зупинка під час руху переднім і заднім ходом біля умовного тротуару, між двома транспортними засобами, розташованими на стоянці, узбіччі, перед стоп-лінією, біля визначеного орієнтира, дорожнього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на ділянках, де створені небезпечні умови (залізничний переїзд без шлагбаума і з шлагбаумом, перехрестя, зупинка маршрутних транспортних засобів, раптова поява пішохода тощо). Рушання з місця, розгін і перемикання передач у висхідному і низхідному порядку, зупинка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 прямо,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вісімці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маневрування в умовах обмеженого проїзду, повороти, розвороти, зупинка у визначеному місці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Маневрування заднім ходом, в'їзд у бокс</w:t>
      </w:r>
      <w:r w:rsidR="00F425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" w:name="_GoBack"/>
      <w:bookmarkEnd w:id="2"/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Проїзд регульованих і нерегульованих перехресть, залізничних переїздів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Об'їзд, обгін, зустрічний роз'їзд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Паркування (всі види).</w:t>
      </w:r>
    </w:p>
    <w:p w:rsidR="00D3101A" w:rsidRPr="00852FFD" w:rsidRDefault="00D3101A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 xml:space="preserve">Керування транспортним засобом на автомобільних дорогах з низькою інтенсивністю руху: </w:t>
      </w:r>
      <w:r w:rsidRPr="00852FFD">
        <w:rPr>
          <w:sz w:val="28"/>
          <w:szCs w:val="28"/>
        </w:rPr>
        <w:t>Рух по прямій з дотриманням безпечної дистанції та необхідної швидкості. Зупинка на узбіччі та відновлення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Проїзд перехресть прямо, з поворотом праворуч, ліворуч. Рух автомобільними дорогами з обмеженою видимістю, підйомами і спусками. Зупинка і рушання з місця. Рух на мостах, шляхопроводах, у тунелях. Проїзд залізничних переїздів із шлагбаумом і без шлагбаума. Об'їзд, обгін, зустрічний роз'їзд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Прийоми маневрування на автозаправній станції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Керування транспортним засобом у межах населеного пункту. Рух у транспортному потоці. Маневрування під час руху на автомобільній дорозі з багаторядним рухом. Об'їзд, обгін з дотриманням безпечних дистанції та інтервалу. Проїзд пішохідних переходів, зупинок маршрутних транспортних засобів. Зупинка біля тротуару і початок руху. Виїзд з другорядної автомобільної дороги. Зустрічний роз'їзд на вузьких ділянках автомобільної дороги. Проїзд T-, V-, X-подібних перехресть прямо, з поворотами праворуч, ліворуч. Проїзд майданів. Рух автомобільною дорогою з трамвайною колією, повороти праворуч, ліворуч і розворот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 xml:space="preserve">Подолання перешкод під час руху переднім і заднім ходом поперемінне передніми та задніми колесами на спуску, сідловині із зупинкою у впадині поперемінне передніми та задніми колесами без гальмування, виїзд на </w:t>
      </w:r>
      <w:r>
        <w:rPr>
          <w:sz w:val="28"/>
          <w:szCs w:val="28"/>
        </w:rPr>
        <w:t>«</w:t>
      </w:r>
      <w:r w:rsidRPr="00852FFD">
        <w:rPr>
          <w:sz w:val="28"/>
          <w:szCs w:val="28"/>
        </w:rPr>
        <w:t>клин</w:t>
      </w:r>
      <w:r>
        <w:rPr>
          <w:sz w:val="28"/>
          <w:szCs w:val="28"/>
        </w:rPr>
        <w:t>»</w:t>
      </w:r>
      <w:r w:rsidRPr="00852FFD">
        <w:rPr>
          <w:sz w:val="28"/>
          <w:szCs w:val="28"/>
        </w:rPr>
        <w:t xml:space="preserve"> передніми колесами і зупинка на вершині (дві - три секунди)</w:t>
      </w:r>
      <w:r>
        <w:rPr>
          <w:sz w:val="28"/>
          <w:szCs w:val="28"/>
        </w:rPr>
        <w:t>.</w:t>
      </w:r>
    </w:p>
    <w:p w:rsidR="00D3101A" w:rsidRDefault="00D3101A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 xml:space="preserve">Керування транспортним засобом на автомобільній дорозі з високою інтенсивністю руху: </w:t>
      </w:r>
      <w:r w:rsidRPr="00852FFD">
        <w:rPr>
          <w:sz w:val="28"/>
          <w:szCs w:val="28"/>
        </w:rPr>
        <w:t xml:space="preserve">Рух у транспортному потоці, з'їзд на другорядну автомобільну дорогу. Виїзд з другорядної автомобільної дороги на головну. Рух на естакадах, закруглених ділянках автомобільної дороги, віражах, підйомах і спусках, мостах, шляхопроводах, у тунелях. Обгін, зустрічний роз'їзд на ділянках звуження автомобільної дороги. Зустрічний роз'їзд на поворотах. </w:t>
      </w:r>
      <w:r w:rsidRPr="00852FFD">
        <w:rPr>
          <w:sz w:val="28"/>
          <w:szCs w:val="28"/>
        </w:rPr>
        <w:lastRenderedPageBreak/>
        <w:t>Проїзд залізничних переїздів, населених пунктів і зупинок маршрутних транспортних засобів у їх межах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 xml:space="preserve">Виїзд на автомобільну дорогу в межах населених пунктів. Зупинка біля тротуару і початок руху. Рух у транспортному потоці. </w:t>
      </w:r>
      <w:r>
        <w:rPr>
          <w:sz w:val="28"/>
          <w:szCs w:val="28"/>
        </w:rPr>
        <w:t xml:space="preserve">Обгін/випередження: обгін інших транспортних засобів (якщо можливо), рух уздовж перешкод (припаркованих автомобілів, дії у ситуації, коли обгін виконують інші транспортні засоби (залежно від обстановки). </w:t>
      </w:r>
      <w:r w:rsidRPr="00852FFD">
        <w:rPr>
          <w:sz w:val="28"/>
          <w:szCs w:val="28"/>
        </w:rPr>
        <w:t>Проїзд пішохідних переходів, зупинок маршрутних транспортних засобів. Зупинка біля тротуару. Паркування</w:t>
      </w:r>
      <w:r>
        <w:rPr>
          <w:sz w:val="28"/>
          <w:szCs w:val="28"/>
        </w:rPr>
        <w:t xml:space="preserve"> транспортного засобу й залишення місця парковка (паркування паралельно, діагонально або перпендикулярно, переднім або заднім ходом, на рівні поверхні, підйом або спуску)</w:t>
      </w:r>
      <w:r w:rsidRPr="00852FFD">
        <w:rPr>
          <w:sz w:val="28"/>
          <w:szCs w:val="28"/>
        </w:rPr>
        <w:t>. Рух автомобільними дорогами з одностороннім рухом. Розвороти на автомобільній дорозі, шляхопроводі, у тунелі. Проїзд складних регульованих і нерегульованих перехресть. Проїзд перехресть у транспортному потоці, повороти праворуч, ліворуч і розвороти на перехресті. Рушання від тротуару (узбіччя)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Розгін до найвищої передачі і перехід до найнижчої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Рух з різною швидкістю, зупинка Керування транспортним засобом на автомобільній дорозі з низькою та високою інтенсивністю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Обгін, об'їзд, зустрічний роз'їзд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Маневрування в умовах обмеженого проїзду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Зупинка і рушання з місця на підйомах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Проїзд перехресть, залізничних переїздів</w:t>
      </w:r>
      <w:r>
        <w:rPr>
          <w:sz w:val="28"/>
          <w:szCs w:val="28"/>
        </w:rPr>
        <w:t xml:space="preserve">. </w:t>
      </w:r>
    </w:p>
    <w:p w:rsidR="00D3101A" w:rsidRPr="00852FFD" w:rsidRDefault="00A87D9F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 xml:space="preserve">Керування транспортним засобом в особливих умовах: </w:t>
      </w:r>
      <w:r w:rsidRPr="00852FFD">
        <w:rPr>
          <w:sz w:val="28"/>
          <w:szCs w:val="28"/>
        </w:rPr>
        <w:t>Керування транспортним засобом в умовах бездоріжжя. Виїзд на ґрунтову дорогу. Рух на об'їзних шляхах, зустрічний роз'їзд. Рух на крутих поворотах, підйомах і спусках, засніжених, лісових та інших дорогах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Керування транспортним засобом у темну пору доби. Виїзд на автомобільну дорогу із штучним освітленням та без нього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Користування світловими приладами. Дії водія транспортного засобу в разі засліплення зустрічним світлом фар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Буксирування транспортного засобу. Зчеплення транспортних засобів жорсткою і гнучкою зчіпкою з дотриманням вимог безпеки. Перевірка надійності зчеплення. Буксирування транспортного засобу по прямій, на поворотах, підйомах і спусках. Зупинка біля тротуару (на узбіччі). В'їзд у ворота, відчеплення транспортного засобу.</w:t>
      </w:r>
      <w:r>
        <w:rPr>
          <w:sz w:val="28"/>
          <w:szCs w:val="28"/>
        </w:rPr>
        <w:t xml:space="preserve"> Керування в такий спосіб, який забезпечує безпеку й скорочує поживання палива та викиди під час збільшення й зменшення швидкості, руху на спусках і підйомах, у разі необхідності шляхом вибору передач</w:t>
      </w:r>
      <w:r w:rsidR="00D3101A" w:rsidRPr="00852FFD">
        <w:rPr>
          <w:sz w:val="28"/>
          <w:szCs w:val="28"/>
        </w:rPr>
        <w:t>.</w:t>
      </w:r>
    </w:p>
    <w:p w:rsidR="00D3101A" w:rsidRDefault="0097397C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>Удосконалення навичок керування транспортним засобом:</w:t>
      </w:r>
      <w:r w:rsidRPr="00852FFD">
        <w:rPr>
          <w:sz w:val="28"/>
          <w:szCs w:val="28"/>
        </w:rPr>
        <w:t xml:space="preserve"> Маневрування в умовах обмеженого проїзду, заднім ходом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Складне та екстрене маневрування. Терміновий розгін і гальмування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Маневрування на автомобільній дорозі з інтенсивним рухом. Взаємодія з пішоходами та іншими учасниками дорожнього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Маневрування, об'їзд, обгін, зупинка, початок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Керування транспортним засобом з причепом, маса якого не перевищує 750 кілограмів. Уміння керуватися дорожніми знаками і розміткою. Прогнозування розвитку дорожньої ситуації, дії водія транспортного засобу щодо її попередження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Прийоми керування транспортним засобом (повільне рушання з місця, терміновий розгін, вибір оптимальної швидкості руху і передачі, прогнозування характеру руху транспортного потоку, використання сили інерції)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 xml:space="preserve">Контраварійна підготовка. Розгін, термінове гальмування і </w:t>
      </w:r>
      <w:r w:rsidRPr="00852FFD">
        <w:rPr>
          <w:sz w:val="28"/>
          <w:szCs w:val="28"/>
        </w:rPr>
        <w:lastRenderedPageBreak/>
        <w:t>маневрування на слизькій ділянці автомобільної дороги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Вимоги до керування транспортним засобом з метою його стабілізації під час заносу малої та середньої амплітуди, критичного, екстреного і ритмічного заносу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Об'їзд перешкоди. Маневрування.</w:t>
      </w:r>
      <w:r w:rsidR="00AE3F19" w:rsidRPr="00AE3F19">
        <w:rPr>
          <w:sz w:val="28"/>
          <w:szCs w:val="28"/>
          <w:lang w:val="ru-RU"/>
        </w:rPr>
        <w:t xml:space="preserve"> </w:t>
      </w:r>
      <w:r w:rsidR="00AE3F19">
        <w:rPr>
          <w:sz w:val="28"/>
          <w:szCs w:val="28"/>
          <w:shd w:val="clear" w:color="auto" w:fill="FFFFFF"/>
        </w:rPr>
        <w:t xml:space="preserve">«Затишний під’їзд» до </w:t>
      </w:r>
      <w:r w:rsidR="00AE3F19">
        <w:rPr>
          <w:rStyle w:val="ac"/>
          <w:bCs/>
          <w:i w:val="0"/>
          <w:iCs w:val="0"/>
          <w:sz w:val="28"/>
          <w:szCs w:val="28"/>
        </w:rPr>
        <w:t>терміналу</w:t>
      </w:r>
      <w:r w:rsidR="00AE3F19">
        <w:rPr>
          <w:bCs/>
          <w:sz w:val="28"/>
          <w:szCs w:val="28"/>
          <w:shd w:val="clear" w:color="auto" w:fill="FFFFFF"/>
        </w:rPr>
        <w:t xml:space="preserve"> для приймання електронних платіжних засобів</w:t>
      </w:r>
      <w:r w:rsidR="00AE3F19">
        <w:rPr>
          <w:bCs/>
          <w:sz w:val="28"/>
          <w:szCs w:val="28"/>
        </w:rPr>
        <w:t>.</w:t>
      </w:r>
      <w:r w:rsidRPr="00852FFD">
        <w:rPr>
          <w:sz w:val="28"/>
          <w:szCs w:val="28"/>
        </w:rPr>
        <w:t xml:space="preserve"> Екстрене гальмування</w:t>
      </w:r>
      <w:r>
        <w:rPr>
          <w:sz w:val="28"/>
          <w:szCs w:val="28"/>
        </w:rPr>
        <w:t>. Безпечне поставлення транспортного засобу для завантаження/розвантаження біля вантажної естакади/платформи або подібного пристрою</w:t>
      </w:r>
      <w:r w:rsidR="00D3101A">
        <w:rPr>
          <w:sz w:val="28"/>
          <w:szCs w:val="28"/>
        </w:rPr>
        <w:t>.</w:t>
      </w:r>
    </w:p>
    <w:p w:rsidR="00E35C7F" w:rsidRPr="00E35C7F" w:rsidRDefault="00E35C7F" w:rsidP="00E35C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06EE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розділ «</w:t>
      </w:r>
      <w:r w:rsidRPr="00E35C7F">
        <w:rPr>
          <w:rFonts w:ascii="Times New Roman" w:hAnsi="Times New Roman" w:cs="Times New Roman"/>
          <w:sz w:val="28"/>
          <w:szCs w:val="28"/>
        </w:rPr>
        <w:t xml:space="preserve">Спеціальні положення стосовно категорій </w:t>
      </w:r>
      <w:r w:rsidR="00D11E1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D11E19" w:rsidRPr="00E35C7F">
        <w:rPr>
          <w:rFonts w:ascii="Times New Roman" w:hAnsi="Times New Roman" w:cs="Times New Roman"/>
          <w:sz w:val="27"/>
          <w:szCs w:val="27"/>
        </w:rPr>
        <w:t xml:space="preserve">, </w:t>
      </w:r>
      <w:r w:rsidR="00D11E1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D11E19" w:rsidRPr="00E35C7F">
        <w:rPr>
          <w:rFonts w:ascii="Times New Roman" w:hAnsi="Times New Roman" w:cs="Times New Roman"/>
          <w:sz w:val="27"/>
          <w:szCs w:val="27"/>
        </w:rPr>
        <w:t>1</w:t>
      </w:r>
      <w:r w:rsidR="00D11E19">
        <w:rPr>
          <w:rFonts w:ascii="Times New Roman" w:hAnsi="Times New Roman" w:cs="Times New Roman"/>
          <w:sz w:val="27"/>
          <w:szCs w:val="27"/>
        </w:rPr>
        <w:t xml:space="preserve">, </w:t>
      </w:r>
      <w:r w:rsidR="00D11E1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="00D11E19" w:rsidRPr="00466940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E35C7F" w:rsidRPr="003D3A59" w:rsidRDefault="00E35C7F" w:rsidP="00E3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E35C7F" w:rsidRPr="00F42584" w:rsidRDefault="00E35C7F" w:rsidP="00E35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val="ru-RU" w:eastAsia="uk-UA"/>
        </w:rPr>
      </w:pPr>
      <w:r w:rsidRPr="006F39D5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uk-UA"/>
        </w:rPr>
        <w:t xml:space="preserve">Таблиця </w:t>
      </w:r>
      <w:r w:rsidR="00850FB5" w:rsidRPr="00F42584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val="ru-RU" w:eastAsia="uk-UA"/>
        </w:rPr>
        <w:t>2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76"/>
      </w:tblGrid>
      <w:tr w:rsidR="00E35C7F" w:rsidRPr="00B77B67" w:rsidTr="00064DA0">
        <w:trPr>
          <w:trHeight w:val="689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570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тем 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5C7F" w:rsidRPr="00B77B67" w:rsidRDefault="00E35C7F" w:rsidP="00E34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 практичного навчання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E34E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перепідготовки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D11E19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2F5B">
              <w:rPr>
                <w:rFonts w:ascii="Times New Roman" w:hAnsi="Times New Roman" w:cs="Times New Roman"/>
                <w:sz w:val="28"/>
                <w:szCs w:val="28"/>
              </w:rPr>
              <w:t>1. Запобіжні заходи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556D8C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2F5B">
              <w:rPr>
                <w:rFonts w:ascii="Times New Roman" w:hAnsi="Times New Roman" w:cs="Times New Roman"/>
                <w:sz w:val="28"/>
                <w:szCs w:val="28"/>
              </w:rPr>
              <w:t>2. Фактори безпеки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556D8C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</w:tbl>
    <w:p w:rsidR="00D309EF" w:rsidRDefault="00D309EF" w:rsidP="00D30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9EF" w:rsidRPr="00643798" w:rsidRDefault="00D309EF" w:rsidP="00D30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98">
        <w:rPr>
          <w:rFonts w:ascii="Times New Roman" w:hAnsi="Times New Roman" w:cs="Times New Roman"/>
          <w:sz w:val="28"/>
          <w:szCs w:val="28"/>
        </w:rPr>
        <w:t xml:space="preserve">Запобіжні заходи: </w:t>
      </w:r>
      <w:r>
        <w:rPr>
          <w:rFonts w:ascii="Times New Roman" w:hAnsi="Times New Roman" w:cs="Times New Roman"/>
          <w:sz w:val="28"/>
          <w:szCs w:val="28"/>
        </w:rPr>
        <w:t xml:space="preserve">Правила щодо годин керування і періодів відпочинку; 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апаратури. </w:t>
      </w:r>
      <w:r w:rsidRPr="00643798">
        <w:rPr>
          <w:rFonts w:ascii="Times New Roman" w:hAnsi="Times New Roman" w:cs="Times New Roman"/>
          <w:sz w:val="28"/>
          <w:szCs w:val="28"/>
        </w:rPr>
        <w:t>Заходи яких повинно бути вжито під час зняття й заміни коліс. Правила щодо мас та габаритів транспортних засобів; правила щодо обмежувачів швидкості. Перешкоди, які обмежують зону видимості, спричинені характеристиками транспортних засобів. Читання карти автомобільних доріг, планування маршрутів, у тому числі використання електронних навігаційних систем (не обов’язково).</w:t>
      </w:r>
    </w:p>
    <w:p w:rsidR="00D309EF" w:rsidRPr="00643798" w:rsidRDefault="00D309EF" w:rsidP="00D30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98">
        <w:rPr>
          <w:rFonts w:ascii="Times New Roman" w:hAnsi="Times New Roman" w:cs="Times New Roman"/>
          <w:sz w:val="28"/>
          <w:szCs w:val="28"/>
        </w:rPr>
        <w:t>Фактори безпеки: Фактори, які відносяться до завантаження транспортних засобів: контроль (розміщення і закріплення вантажу),</w:t>
      </w:r>
      <w:r>
        <w:rPr>
          <w:rFonts w:ascii="Times New Roman" w:hAnsi="Times New Roman" w:cs="Times New Roman"/>
          <w:sz w:val="28"/>
          <w:szCs w:val="28"/>
        </w:rPr>
        <w:t xml:space="preserve"> кузов, тенти, двері вантажного відсіку, завантажувальний механізм (за наявності), замки кабіни (за наявності), спосіб завантаження, закріплення вантажу,</w:t>
      </w:r>
      <w:r w:rsidRPr="00643798">
        <w:rPr>
          <w:rFonts w:ascii="Times New Roman" w:hAnsi="Times New Roman" w:cs="Times New Roman"/>
          <w:sz w:val="28"/>
          <w:szCs w:val="28"/>
        </w:rPr>
        <w:t xml:space="preserve"> труднощі з різними видами вантажів (наприклад, рідини, підвісні вантажі тощо), завантаження та розвантаження і використання навантажувального обладнання.</w:t>
      </w:r>
    </w:p>
    <w:p w:rsidR="007C14E7" w:rsidRPr="006F39D5" w:rsidRDefault="006F39D5" w:rsidP="006F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bookmarkStart w:id="3" w:name="n32"/>
      <w:bookmarkStart w:id="4" w:name="n57"/>
      <w:bookmarkStart w:id="5" w:name="n33"/>
      <w:bookmarkStart w:id="6" w:name="n34"/>
      <w:bookmarkStart w:id="7" w:name="n35"/>
      <w:bookmarkStart w:id="8" w:name="n36"/>
      <w:bookmarkStart w:id="9" w:name="n38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___________________________________________________</w:t>
      </w:r>
    </w:p>
    <w:sectPr w:rsidR="007C14E7" w:rsidRPr="006F39D5" w:rsidSect="001E7BDD">
      <w:headerReference w:type="default" r:id="rId9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44" w:rsidRDefault="00273344" w:rsidP="00894FF5">
      <w:pPr>
        <w:spacing w:after="0" w:line="240" w:lineRule="auto"/>
      </w:pPr>
      <w:r>
        <w:separator/>
      </w:r>
    </w:p>
  </w:endnote>
  <w:endnote w:type="continuationSeparator" w:id="0">
    <w:p w:rsidR="00273344" w:rsidRDefault="00273344" w:rsidP="008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44" w:rsidRDefault="00273344" w:rsidP="00894FF5">
      <w:pPr>
        <w:spacing w:after="0" w:line="240" w:lineRule="auto"/>
      </w:pPr>
      <w:r>
        <w:separator/>
      </w:r>
    </w:p>
  </w:footnote>
  <w:footnote w:type="continuationSeparator" w:id="0">
    <w:p w:rsidR="00273344" w:rsidRDefault="00273344" w:rsidP="0089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2875"/>
      <w:docPartObj>
        <w:docPartGallery w:val="Page Numbers (Top of Page)"/>
        <w:docPartUnique/>
      </w:docPartObj>
    </w:sdtPr>
    <w:sdtEndPr/>
    <w:sdtContent>
      <w:p w:rsidR="00064DA0" w:rsidRDefault="00064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584" w:rsidRPr="00F42584">
          <w:rPr>
            <w:noProof/>
            <w:lang w:val="ru-RU"/>
          </w:rPr>
          <w:t>3</w:t>
        </w:r>
        <w:r>
          <w:fldChar w:fldCharType="end"/>
        </w:r>
      </w:p>
    </w:sdtContent>
  </w:sdt>
  <w:p w:rsidR="00064DA0" w:rsidRDefault="00064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A9C"/>
    <w:multiLevelType w:val="hybridMultilevel"/>
    <w:tmpl w:val="26DA04FC"/>
    <w:lvl w:ilvl="0" w:tplc="B90C8A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0008D5"/>
    <w:rsid w:val="00003362"/>
    <w:rsid w:val="000038C6"/>
    <w:rsid w:val="000045DB"/>
    <w:rsid w:val="00004A49"/>
    <w:rsid w:val="00007620"/>
    <w:rsid w:val="00016295"/>
    <w:rsid w:val="00026131"/>
    <w:rsid w:val="000269EE"/>
    <w:rsid w:val="0003383F"/>
    <w:rsid w:val="00033B58"/>
    <w:rsid w:val="00041FF7"/>
    <w:rsid w:val="00054E65"/>
    <w:rsid w:val="00064DA0"/>
    <w:rsid w:val="00066E6F"/>
    <w:rsid w:val="0007069F"/>
    <w:rsid w:val="00071A2C"/>
    <w:rsid w:val="00075657"/>
    <w:rsid w:val="000823EA"/>
    <w:rsid w:val="00087CB2"/>
    <w:rsid w:val="000A0763"/>
    <w:rsid w:val="000A4088"/>
    <w:rsid w:val="000A6DD2"/>
    <w:rsid w:val="000B439B"/>
    <w:rsid w:val="000B4CB1"/>
    <w:rsid w:val="000B6E9D"/>
    <w:rsid w:val="000C0DCE"/>
    <w:rsid w:val="000C5D51"/>
    <w:rsid w:val="000E33A4"/>
    <w:rsid w:val="000F000C"/>
    <w:rsid w:val="000F2918"/>
    <w:rsid w:val="00100F68"/>
    <w:rsid w:val="00102C6B"/>
    <w:rsid w:val="00103C97"/>
    <w:rsid w:val="00106EEF"/>
    <w:rsid w:val="001107E0"/>
    <w:rsid w:val="00110889"/>
    <w:rsid w:val="001134EA"/>
    <w:rsid w:val="00120FA7"/>
    <w:rsid w:val="00121CB1"/>
    <w:rsid w:val="00131D8F"/>
    <w:rsid w:val="00136C81"/>
    <w:rsid w:val="00140F7F"/>
    <w:rsid w:val="00142D07"/>
    <w:rsid w:val="00147C3E"/>
    <w:rsid w:val="0015583A"/>
    <w:rsid w:val="001559AF"/>
    <w:rsid w:val="00160818"/>
    <w:rsid w:val="0016152C"/>
    <w:rsid w:val="00162B7E"/>
    <w:rsid w:val="001644F0"/>
    <w:rsid w:val="00164764"/>
    <w:rsid w:val="0017615C"/>
    <w:rsid w:val="00191B5D"/>
    <w:rsid w:val="00194B9C"/>
    <w:rsid w:val="0019690F"/>
    <w:rsid w:val="001A5FAD"/>
    <w:rsid w:val="001A6A3E"/>
    <w:rsid w:val="001A7F5A"/>
    <w:rsid w:val="001B1914"/>
    <w:rsid w:val="001B76FC"/>
    <w:rsid w:val="001C0C54"/>
    <w:rsid w:val="001C41D1"/>
    <w:rsid w:val="001C658E"/>
    <w:rsid w:val="001D177F"/>
    <w:rsid w:val="001D1A45"/>
    <w:rsid w:val="001E7BDD"/>
    <w:rsid w:val="001F110E"/>
    <w:rsid w:val="001F6974"/>
    <w:rsid w:val="001F7633"/>
    <w:rsid w:val="001F78D6"/>
    <w:rsid w:val="00204A9C"/>
    <w:rsid w:val="0020523E"/>
    <w:rsid w:val="002151FF"/>
    <w:rsid w:val="002167B9"/>
    <w:rsid w:val="002175E5"/>
    <w:rsid w:val="00222016"/>
    <w:rsid w:val="00231C92"/>
    <w:rsid w:val="00236A0A"/>
    <w:rsid w:val="00254623"/>
    <w:rsid w:val="00254737"/>
    <w:rsid w:val="00255C2C"/>
    <w:rsid w:val="00255E99"/>
    <w:rsid w:val="00256FA4"/>
    <w:rsid w:val="00263747"/>
    <w:rsid w:val="00271560"/>
    <w:rsid w:val="00272BE3"/>
    <w:rsid w:val="00272C10"/>
    <w:rsid w:val="00273344"/>
    <w:rsid w:val="00275622"/>
    <w:rsid w:val="002834BB"/>
    <w:rsid w:val="00292629"/>
    <w:rsid w:val="00293011"/>
    <w:rsid w:val="002A2E6E"/>
    <w:rsid w:val="002A5F58"/>
    <w:rsid w:val="002B00C5"/>
    <w:rsid w:val="002B47D8"/>
    <w:rsid w:val="002B7E8A"/>
    <w:rsid w:val="002C3DDC"/>
    <w:rsid w:val="002C49C1"/>
    <w:rsid w:val="002C516C"/>
    <w:rsid w:val="002C5DB4"/>
    <w:rsid w:val="002D3C7B"/>
    <w:rsid w:val="002D4BA4"/>
    <w:rsid w:val="002D77E8"/>
    <w:rsid w:val="002E2165"/>
    <w:rsid w:val="002F0BD1"/>
    <w:rsid w:val="002F318A"/>
    <w:rsid w:val="00303605"/>
    <w:rsid w:val="0030609F"/>
    <w:rsid w:val="003105DB"/>
    <w:rsid w:val="00311042"/>
    <w:rsid w:val="00322C8C"/>
    <w:rsid w:val="003246D4"/>
    <w:rsid w:val="00332C44"/>
    <w:rsid w:val="00340B88"/>
    <w:rsid w:val="00344043"/>
    <w:rsid w:val="003514FB"/>
    <w:rsid w:val="00352FFC"/>
    <w:rsid w:val="00357662"/>
    <w:rsid w:val="00360524"/>
    <w:rsid w:val="00361CF4"/>
    <w:rsid w:val="003646B5"/>
    <w:rsid w:val="00367E2E"/>
    <w:rsid w:val="00374732"/>
    <w:rsid w:val="00386A02"/>
    <w:rsid w:val="00386AB8"/>
    <w:rsid w:val="0039164B"/>
    <w:rsid w:val="003B541C"/>
    <w:rsid w:val="003B5A11"/>
    <w:rsid w:val="003B691D"/>
    <w:rsid w:val="003B79D0"/>
    <w:rsid w:val="003C0654"/>
    <w:rsid w:val="003C14F3"/>
    <w:rsid w:val="003D39C8"/>
    <w:rsid w:val="003D3A59"/>
    <w:rsid w:val="003D4404"/>
    <w:rsid w:val="003F010C"/>
    <w:rsid w:val="003F70C0"/>
    <w:rsid w:val="004064E0"/>
    <w:rsid w:val="00410E0C"/>
    <w:rsid w:val="004237A0"/>
    <w:rsid w:val="00423B88"/>
    <w:rsid w:val="004256AD"/>
    <w:rsid w:val="00427F05"/>
    <w:rsid w:val="00431E93"/>
    <w:rsid w:val="00445FA6"/>
    <w:rsid w:val="00451478"/>
    <w:rsid w:val="00451A4E"/>
    <w:rsid w:val="00452A68"/>
    <w:rsid w:val="00455686"/>
    <w:rsid w:val="00463E28"/>
    <w:rsid w:val="00466940"/>
    <w:rsid w:val="0046795C"/>
    <w:rsid w:val="004841C6"/>
    <w:rsid w:val="00487B3C"/>
    <w:rsid w:val="00497119"/>
    <w:rsid w:val="004A063A"/>
    <w:rsid w:val="004A3E1F"/>
    <w:rsid w:val="004A757F"/>
    <w:rsid w:val="004A777B"/>
    <w:rsid w:val="004B37F0"/>
    <w:rsid w:val="004B6618"/>
    <w:rsid w:val="004C0C77"/>
    <w:rsid w:val="004C5105"/>
    <w:rsid w:val="004C7F2D"/>
    <w:rsid w:val="004D039A"/>
    <w:rsid w:val="004E1DBA"/>
    <w:rsid w:val="004E4243"/>
    <w:rsid w:val="004E4A6E"/>
    <w:rsid w:val="004F16B1"/>
    <w:rsid w:val="005014DF"/>
    <w:rsid w:val="0050563F"/>
    <w:rsid w:val="00506AC9"/>
    <w:rsid w:val="005109ED"/>
    <w:rsid w:val="00511983"/>
    <w:rsid w:val="00514450"/>
    <w:rsid w:val="005145F2"/>
    <w:rsid w:val="005163D5"/>
    <w:rsid w:val="00527D57"/>
    <w:rsid w:val="005343E2"/>
    <w:rsid w:val="00535FD2"/>
    <w:rsid w:val="005370C6"/>
    <w:rsid w:val="00540DEB"/>
    <w:rsid w:val="005426E0"/>
    <w:rsid w:val="005465FF"/>
    <w:rsid w:val="005511D6"/>
    <w:rsid w:val="00553F71"/>
    <w:rsid w:val="00556D8C"/>
    <w:rsid w:val="00557AF7"/>
    <w:rsid w:val="0056018F"/>
    <w:rsid w:val="00563EBA"/>
    <w:rsid w:val="00570B25"/>
    <w:rsid w:val="00572A2F"/>
    <w:rsid w:val="00573536"/>
    <w:rsid w:val="005840CA"/>
    <w:rsid w:val="00593813"/>
    <w:rsid w:val="005958E0"/>
    <w:rsid w:val="005A0F53"/>
    <w:rsid w:val="005A3DB2"/>
    <w:rsid w:val="005C106F"/>
    <w:rsid w:val="005C22DA"/>
    <w:rsid w:val="005C27C5"/>
    <w:rsid w:val="005D45EF"/>
    <w:rsid w:val="005D4FA0"/>
    <w:rsid w:val="005D575C"/>
    <w:rsid w:val="005D7C4F"/>
    <w:rsid w:val="005E5D72"/>
    <w:rsid w:val="005E786D"/>
    <w:rsid w:val="00600DC0"/>
    <w:rsid w:val="0062329B"/>
    <w:rsid w:val="00623CB7"/>
    <w:rsid w:val="00631015"/>
    <w:rsid w:val="00637150"/>
    <w:rsid w:val="00637E00"/>
    <w:rsid w:val="006402DD"/>
    <w:rsid w:val="00642C65"/>
    <w:rsid w:val="00645BBA"/>
    <w:rsid w:val="00646736"/>
    <w:rsid w:val="006530E0"/>
    <w:rsid w:val="00656DCF"/>
    <w:rsid w:val="0066172E"/>
    <w:rsid w:val="006717C1"/>
    <w:rsid w:val="006804C8"/>
    <w:rsid w:val="00680F44"/>
    <w:rsid w:val="0068515F"/>
    <w:rsid w:val="0068577C"/>
    <w:rsid w:val="00686BB1"/>
    <w:rsid w:val="00692F53"/>
    <w:rsid w:val="006954FA"/>
    <w:rsid w:val="00695F28"/>
    <w:rsid w:val="006A22F1"/>
    <w:rsid w:val="006B7746"/>
    <w:rsid w:val="006C0A43"/>
    <w:rsid w:val="006C4D3A"/>
    <w:rsid w:val="006C7A27"/>
    <w:rsid w:val="006D1A47"/>
    <w:rsid w:val="006D2436"/>
    <w:rsid w:val="006E2013"/>
    <w:rsid w:val="006E3521"/>
    <w:rsid w:val="006E69D6"/>
    <w:rsid w:val="006F372D"/>
    <w:rsid w:val="006F39D5"/>
    <w:rsid w:val="006F58B9"/>
    <w:rsid w:val="006F6590"/>
    <w:rsid w:val="00701D08"/>
    <w:rsid w:val="00704091"/>
    <w:rsid w:val="007131BE"/>
    <w:rsid w:val="00717DBF"/>
    <w:rsid w:val="00720FC2"/>
    <w:rsid w:val="00721692"/>
    <w:rsid w:val="00730817"/>
    <w:rsid w:val="0073553C"/>
    <w:rsid w:val="0074427E"/>
    <w:rsid w:val="00745467"/>
    <w:rsid w:val="00746C84"/>
    <w:rsid w:val="007628BB"/>
    <w:rsid w:val="00772872"/>
    <w:rsid w:val="00776E20"/>
    <w:rsid w:val="00780139"/>
    <w:rsid w:val="00784D4F"/>
    <w:rsid w:val="00790F4A"/>
    <w:rsid w:val="00791A59"/>
    <w:rsid w:val="007B3EF6"/>
    <w:rsid w:val="007B5BC8"/>
    <w:rsid w:val="007C14E7"/>
    <w:rsid w:val="007C2B15"/>
    <w:rsid w:val="007D179A"/>
    <w:rsid w:val="007D2366"/>
    <w:rsid w:val="007E4F5B"/>
    <w:rsid w:val="007E6786"/>
    <w:rsid w:val="007F1381"/>
    <w:rsid w:val="007F3892"/>
    <w:rsid w:val="00800949"/>
    <w:rsid w:val="008054EF"/>
    <w:rsid w:val="00822F69"/>
    <w:rsid w:val="00837A86"/>
    <w:rsid w:val="00840133"/>
    <w:rsid w:val="0084603B"/>
    <w:rsid w:val="00850FB5"/>
    <w:rsid w:val="00876615"/>
    <w:rsid w:val="00884D44"/>
    <w:rsid w:val="00886B3E"/>
    <w:rsid w:val="0089032A"/>
    <w:rsid w:val="008908D8"/>
    <w:rsid w:val="00891791"/>
    <w:rsid w:val="00894FF5"/>
    <w:rsid w:val="008950D7"/>
    <w:rsid w:val="0089637E"/>
    <w:rsid w:val="00896757"/>
    <w:rsid w:val="008A10CA"/>
    <w:rsid w:val="008B0CE4"/>
    <w:rsid w:val="008B3936"/>
    <w:rsid w:val="008B469B"/>
    <w:rsid w:val="008C7205"/>
    <w:rsid w:val="008C72F6"/>
    <w:rsid w:val="008E77FA"/>
    <w:rsid w:val="008F0147"/>
    <w:rsid w:val="008F25CE"/>
    <w:rsid w:val="009015B7"/>
    <w:rsid w:val="00904FCC"/>
    <w:rsid w:val="009062D5"/>
    <w:rsid w:val="009136EF"/>
    <w:rsid w:val="009228E8"/>
    <w:rsid w:val="009230F8"/>
    <w:rsid w:val="009377D9"/>
    <w:rsid w:val="00966F60"/>
    <w:rsid w:val="0096719E"/>
    <w:rsid w:val="0097397C"/>
    <w:rsid w:val="00981E5E"/>
    <w:rsid w:val="0098685D"/>
    <w:rsid w:val="009875A2"/>
    <w:rsid w:val="0099454B"/>
    <w:rsid w:val="009A1766"/>
    <w:rsid w:val="009A3881"/>
    <w:rsid w:val="009A554F"/>
    <w:rsid w:val="009A6A71"/>
    <w:rsid w:val="009C5627"/>
    <w:rsid w:val="009D3626"/>
    <w:rsid w:val="009D4552"/>
    <w:rsid w:val="009E36C1"/>
    <w:rsid w:val="009E44F9"/>
    <w:rsid w:val="009F66AE"/>
    <w:rsid w:val="009F6BEE"/>
    <w:rsid w:val="009F77FC"/>
    <w:rsid w:val="00A016FD"/>
    <w:rsid w:val="00A0653E"/>
    <w:rsid w:val="00A11ED7"/>
    <w:rsid w:val="00A12932"/>
    <w:rsid w:val="00A2197F"/>
    <w:rsid w:val="00A225F5"/>
    <w:rsid w:val="00A276AD"/>
    <w:rsid w:val="00A30FE1"/>
    <w:rsid w:val="00A35491"/>
    <w:rsid w:val="00A4043F"/>
    <w:rsid w:val="00A44579"/>
    <w:rsid w:val="00A4601E"/>
    <w:rsid w:val="00A46281"/>
    <w:rsid w:val="00A479D5"/>
    <w:rsid w:val="00A509A3"/>
    <w:rsid w:val="00A565EA"/>
    <w:rsid w:val="00A64268"/>
    <w:rsid w:val="00A661AA"/>
    <w:rsid w:val="00A71ECB"/>
    <w:rsid w:val="00A83D3A"/>
    <w:rsid w:val="00A87D9F"/>
    <w:rsid w:val="00A91A0A"/>
    <w:rsid w:val="00A94EAC"/>
    <w:rsid w:val="00AA30A7"/>
    <w:rsid w:val="00AA5759"/>
    <w:rsid w:val="00AB1678"/>
    <w:rsid w:val="00AD019D"/>
    <w:rsid w:val="00AD2B58"/>
    <w:rsid w:val="00AD4CC0"/>
    <w:rsid w:val="00AE3F19"/>
    <w:rsid w:val="00AF723B"/>
    <w:rsid w:val="00B1124A"/>
    <w:rsid w:val="00B37981"/>
    <w:rsid w:val="00B379D1"/>
    <w:rsid w:val="00B4637C"/>
    <w:rsid w:val="00B47CC8"/>
    <w:rsid w:val="00B60BD3"/>
    <w:rsid w:val="00B63BEF"/>
    <w:rsid w:val="00B64B26"/>
    <w:rsid w:val="00B6594B"/>
    <w:rsid w:val="00B66587"/>
    <w:rsid w:val="00B66A66"/>
    <w:rsid w:val="00B77B67"/>
    <w:rsid w:val="00B8642F"/>
    <w:rsid w:val="00B86A52"/>
    <w:rsid w:val="00B9720F"/>
    <w:rsid w:val="00BA00E9"/>
    <w:rsid w:val="00BA26FE"/>
    <w:rsid w:val="00BB4FD8"/>
    <w:rsid w:val="00BB6A62"/>
    <w:rsid w:val="00BD0050"/>
    <w:rsid w:val="00BD1319"/>
    <w:rsid w:val="00BD4E24"/>
    <w:rsid w:val="00BD5CAC"/>
    <w:rsid w:val="00BE0AC5"/>
    <w:rsid w:val="00BE188A"/>
    <w:rsid w:val="00BE25F4"/>
    <w:rsid w:val="00BE2994"/>
    <w:rsid w:val="00BF44C1"/>
    <w:rsid w:val="00BF790B"/>
    <w:rsid w:val="00C02147"/>
    <w:rsid w:val="00C02B72"/>
    <w:rsid w:val="00C02C53"/>
    <w:rsid w:val="00C0366D"/>
    <w:rsid w:val="00C036A7"/>
    <w:rsid w:val="00C06393"/>
    <w:rsid w:val="00C15CF7"/>
    <w:rsid w:val="00C25427"/>
    <w:rsid w:val="00C46EF7"/>
    <w:rsid w:val="00C55B60"/>
    <w:rsid w:val="00C562E0"/>
    <w:rsid w:val="00C567BF"/>
    <w:rsid w:val="00C579E8"/>
    <w:rsid w:val="00C57A58"/>
    <w:rsid w:val="00C70C3C"/>
    <w:rsid w:val="00C73682"/>
    <w:rsid w:val="00C7493F"/>
    <w:rsid w:val="00C8025B"/>
    <w:rsid w:val="00C9156E"/>
    <w:rsid w:val="00C968A1"/>
    <w:rsid w:val="00CA4276"/>
    <w:rsid w:val="00CA6015"/>
    <w:rsid w:val="00CA7184"/>
    <w:rsid w:val="00CB1772"/>
    <w:rsid w:val="00CB388B"/>
    <w:rsid w:val="00CB7BA3"/>
    <w:rsid w:val="00CC2122"/>
    <w:rsid w:val="00CD70B2"/>
    <w:rsid w:val="00CE26CF"/>
    <w:rsid w:val="00CE6C27"/>
    <w:rsid w:val="00CF1160"/>
    <w:rsid w:val="00D000AD"/>
    <w:rsid w:val="00D02904"/>
    <w:rsid w:val="00D11E19"/>
    <w:rsid w:val="00D1237F"/>
    <w:rsid w:val="00D12889"/>
    <w:rsid w:val="00D21A3C"/>
    <w:rsid w:val="00D2221A"/>
    <w:rsid w:val="00D23BAF"/>
    <w:rsid w:val="00D25EBD"/>
    <w:rsid w:val="00D26C52"/>
    <w:rsid w:val="00D309EF"/>
    <w:rsid w:val="00D3101A"/>
    <w:rsid w:val="00D556D8"/>
    <w:rsid w:val="00D62A69"/>
    <w:rsid w:val="00D66EDF"/>
    <w:rsid w:val="00D766C4"/>
    <w:rsid w:val="00D858BE"/>
    <w:rsid w:val="00D85B3C"/>
    <w:rsid w:val="00D86300"/>
    <w:rsid w:val="00D86CD5"/>
    <w:rsid w:val="00D97FBB"/>
    <w:rsid w:val="00DA1FEC"/>
    <w:rsid w:val="00DA41C3"/>
    <w:rsid w:val="00DB6697"/>
    <w:rsid w:val="00DC51BE"/>
    <w:rsid w:val="00DD034D"/>
    <w:rsid w:val="00DD52BE"/>
    <w:rsid w:val="00DD553B"/>
    <w:rsid w:val="00DE14ED"/>
    <w:rsid w:val="00DE28B8"/>
    <w:rsid w:val="00DE54FD"/>
    <w:rsid w:val="00E06865"/>
    <w:rsid w:val="00E13BFC"/>
    <w:rsid w:val="00E17372"/>
    <w:rsid w:val="00E25209"/>
    <w:rsid w:val="00E27339"/>
    <w:rsid w:val="00E2769E"/>
    <w:rsid w:val="00E30A73"/>
    <w:rsid w:val="00E319FB"/>
    <w:rsid w:val="00E32EB2"/>
    <w:rsid w:val="00E34ED6"/>
    <w:rsid w:val="00E358C8"/>
    <w:rsid w:val="00E35C7F"/>
    <w:rsid w:val="00E41BF5"/>
    <w:rsid w:val="00E4638F"/>
    <w:rsid w:val="00E47286"/>
    <w:rsid w:val="00E50CB5"/>
    <w:rsid w:val="00E550DA"/>
    <w:rsid w:val="00E6761B"/>
    <w:rsid w:val="00E85266"/>
    <w:rsid w:val="00E90E82"/>
    <w:rsid w:val="00EA128C"/>
    <w:rsid w:val="00EA683F"/>
    <w:rsid w:val="00EC10D8"/>
    <w:rsid w:val="00EC4A69"/>
    <w:rsid w:val="00ED1223"/>
    <w:rsid w:val="00ED7989"/>
    <w:rsid w:val="00ED7AD1"/>
    <w:rsid w:val="00EF2E8D"/>
    <w:rsid w:val="00EF398E"/>
    <w:rsid w:val="00F07B08"/>
    <w:rsid w:val="00F1172B"/>
    <w:rsid w:val="00F126D2"/>
    <w:rsid w:val="00F15C3F"/>
    <w:rsid w:val="00F32571"/>
    <w:rsid w:val="00F3334C"/>
    <w:rsid w:val="00F42584"/>
    <w:rsid w:val="00F425F4"/>
    <w:rsid w:val="00F5212F"/>
    <w:rsid w:val="00F52B31"/>
    <w:rsid w:val="00F536C1"/>
    <w:rsid w:val="00F54AD0"/>
    <w:rsid w:val="00F5543B"/>
    <w:rsid w:val="00F76303"/>
    <w:rsid w:val="00F77C75"/>
    <w:rsid w:val="00F92432"/>
    <w:rsid w:val="00F9311E"/>
    <w:rsid w:val="00F943B5"/>
    <w:rsid w:val="00F95CB3"/>
    <w:rsid w:val="00FA22F4"/>
    <w:rsid w:val="00FA49DB"/>
    <w:rsid w:val="00FB5458"/>
    <w:rsid w:val="00FB6974"/>
    <w:rsid w:val="00FB7348"/>
    <w:rsid w:val="00FC5898"/>
    <w:rsid w:val="00FE0E0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E3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E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3D26-C7EF-4649-90B8-6FF7BCE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5</Pages>
  <Words>7689</Words>
  <Characters>4383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591</cp:revision>
  <cp:lastPrinted>2020-05-15T13:19:00Z</cp:lastPrinted>
  <dcterms:created xsi:type="dcterms:W3CDTF">2020-04-27T14:10:00Z</dcterms:created>
  <dcterms:modified xsi:type="dcterms:W3CDTF">2020-07-14T15:57:00Z</dcterms:modified>
</cp:coreProperties>
</file>