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9072" w:leader="none"/>
        </w:tabs>
        <w:ind w:left="426" w:right="566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ПОЯСНЮВАЛЬНА ЗАПИСКА</w:t>
      </w:r>
      <w:r>
        <w:rPr>
          <w:sz w:val="20"/>
          <w:szCs w:val="20"/>
        </w:rPr>
        <w:br/>
      </w:r>
      <w:r>
        <w:rPr>
          <w:b/>
          <w:bCs/>
          <w:sz w:val="28"/>
        </w:rPr>
        <w:t xml:space="preserve">до проєкту постанови Кабінету Міністрів України «Про внесення </w:t>
      </w:r>
    </w:p>
    <w:p>
      <w:pPr>
        <w:pStyle w:val="Normal"/>
        <w:shd w:val="clear" w:color="auto" w:fill="FFFFFF"/>
        <w:tabs>
          <w:tab w:val="clear" w:pos="708"/>
          <w:tab w:val="left" w:pos="9072" w:leader="none"/>
        </w:tabs>
        <w:ind w:left="426" w:right="56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</w:rPr>
        <w:t xml:space="preserve">змін </w:t>
      </w:r>
      <w:r>
        <w:rPr>
          <w:b/>
          <w:bCs/>
          <w:sz w:val="28"/>
          <w:szCs w:val="28"/>
        </w:rPr>
        <w:t xml:space="preserve">до постанови Кабінету Міністрів України </w:t>
      </w:r>
    </w:p>
    <w:p>
      <w:pPr>
        <w:pStyle w:val="Normal"/>
        <w:shd w:val="clear" w:color="auto" w:fill="FFFFFF"/>
        <w:tabs>
          <w:tab w:val="clear" w:pos="708"/>
          <w:tab w:val="left" w:pos="9072" w:leader="none"/>
        </w:tabs>
        <w:ind w:left="426" w:right="56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07 вересня 1993 р. № 706»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bookmarkStart w:id="0" w:name="n3485"/>
      <w:bookmarkEnd w:id="0"/>
      <w:r>
        <w:rPr>
          <w:b/>
          <w:bCs/>
          <w:sz w:val="28"/>
          <w:szCs w:val="28"/>
        </w:rPr>
        <w:t>1. Мета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bookmarkStart w:id="1" w:name="n3486"/>
      <w:bookmarkEnd w:id="1"/>
      <w:r>
        <w:rPr>
          <w:sz w:val="28"/>
          <w:szCs w:val="28"/>
        </w:rPr>
        <w:t xml:space="preserve">Проєкт постанови Кабінету Міністрів України «Про внесення змін до постанови Кабінету Міністрів України від 07 вересня 1993 р. № 706»                      (далі – проєкт акта) розроблено Національною поліцією України на виконання </w:t>
      </w:r>
      <w:bookmarkStart w:id="2" w:name="_Hlk176853640"/>
      <w:r>
        <w:rPr>
          <w:sz w:val="28"/>
          <w:szCs w:val="28"/>
        </w:rPr>
        <w:t xml:space="preserve">пункту 91 Плану заходів щодо дерегуляції господарської діяльності та покращення бізнес-клімату </w:t>
      </w:r>
      <w:bookmarkEnd w:id="2"/>
      <w:r>
        <w:rPr>
          <w:sz w:val="28"/>
          <w:szCs w:val="28"/>
        </w:rPr>
        <w:t>відповідно до розпорядження Кабінету Міністрів України від 04 грудня 2019 року № 1413-р, доручення Міністерства внутрішніх справ України від 17 вересня 2024 року № 94/01/12 «Про забезпечення реалізації Плану заходів щодо дерегуляції господарської діяльності та покращення бізнес-клімату, затвердженого розпорядженням Кабінету Міністрів України від 04 грудня 2019 року № 1413» та приведення нормативно-правових актів</w:t>
      </w:r>
      <w:r>
        <w:rPr>
          <w:sz w:val="28"/>
          <w:szCs w:val="28"/>
          <w:shd w:fill="FFFFFF" w:val="clear"/>
        </w:rPr>
        <w:t xml:space="preserve"> у відповідність до вимог  законодавства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Обґрунтування необхідності прийняття акта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bookmarkStart w:id="3" w:name="n3490"/>
      <w:bookmarkStart w:id="4" w:name="n3489"/>
      <w:bookmarkStart w:id="5" w:name="n3488"/>
      <w:bookmarkEnd w:id="3"/>
      <w:bookmarkEnd w:id="4"/>
      <w:bookmarkEnd w:id="5"/>
      <w:r>
        <w:rPr>
          <w:sz w:val="28"/>
          <w:szCs w:val="28"/>
        </w:rPr>
        <w:t>Положення проєкту акта спрямовані на скасування дозволу на здійснення діяльності з виготовлення та реалізації спеціальних засобів самооборони, а також приведення Положення про порядок продажу, придбання, реєстрації, обліку і застосування спеціальних засобів самооборони, заряджених речовинами  сльозоточивої та дратівної дії</w:t>
      </w:r>
      <w:r>
        <w:rPr>
          <w:spacing w:val="-2"/>
          <w:sz w:val="28"/>
          <w:szCs w:val="28"/>
        </w:rPr>
        <w:t xml:space="preserve">, затвердженого постановою Кабінету Міністрів України від 07 вересня 1993 року № </w:t>
      </w:r>
      <w:r>
        <w:rPr>
          <w:sz w:val="28"/>
          <w:szCs w:val="28"/>
        </w:rPr>
        <w:t xml:space="preserve">706, у відповідність до </w:t>
      </w:r>
      <w:r>
        <w:rPr>
          <w:color w:val="000000"/>
          <w:sz w:val="28"/>
          <w:szCs w:val="28"/>
          <w:lang w:eastAsia="en-GB"/>
        </w:rPr>
        <w:t xml:space="preserve">пункту 8 розділу </w:t>
      </w:r>
      <w:r>
        <w:rPr>
          <w:color w:val="000000"/>
          <w:sz w:val="28"/>
          <w:szCs w:val="28"/>
          <w:shd w:fill="FFFFFF" w:val="clear"/>
          <w:lang w:eastAsia="en-GB"/>
        </w:rPr>
        <w:t>II «Прикінцеві та перехідні положення»</w:t>
      </w:r>
      <w:r>
        <w:rPr>
          <w:color w:val="000000"/>
          <w:sz w:val="28"/>
          <w:szCs w:val="28"/>
          <w:lang w:eastAsia="en-GB"/>
        </w:rPr>
        <w:t xml:space="preserve"> Закону України «</w:t>
      </w:r>
      <w:r>
        <w:rPr>
          <w:color w:val="000000"/>
          <w:sz w:val="28"/>
          <w:szCs w:val="28"/>
          <w:shd w:fill="FFFFFF" w:val="clear"/>
          <w:lang w:eastAsia="en-GB"/>
        </w:rPr>
        <w:t>Про внесення змін до деяких законодавчих актів України у зв’язку з прийняттям Закону України «Про Національну поліцію</w:t>
      </w:r>
      <w:r>
        <w:rPr>
          <w:color w:val="000000"/>
          <w:sz w:val="28"/>
          <w:szCs w:val="28"/>
          <w:lang w:eastAsia="en-GB"/>
        </w:rPr>
        <w:t xml:space="preserve">», </w:t>
      </w:r>
      <w:r>
        <w:rPr>
          <w:sz w:val="28"/>
          <w:szCs w:val="28"/>
          <w:shd w:fill="FFFFFF" w:val="clear"/>
        </w:rPr>
        <w:t xml:space="preserve">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продажу, затверджених </w:t>
      </w:r>
      <w:r>
        <w:rPr>
          <w:rStyle w:val="Rvts9"/>
          <w:rFonts w:eastAsia="Arial"/>
          <w:sz w:val="28"/>
          <w:szCs w:val="28"/>
          <w:shd w:fill="FFFFFF" w:val="clear"/>
        </w:rPr>
        <w:t xml:space="preserve">постановою Кабінету Міністрів України від 02 грудня 2015 року № 1000, </w:t>
      </w:r>
      <w:r>
        <w:rPr>
          <w:sz w:val="28"/>
          <w:szCs w:val="28"/>
        </w:rPr>
        <w:t xml:space="preserve">та інших актів законодавства Ліцензійних умов. </w:t>
      </w:r>
    </w:p>
    <w:p>
      <w:pPr>
        <w:pStyle w:val="Normal"/>
        <w:shd w:val="clear" w:color="auto" w:fill="FFFFFF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Основні положення проєкту акта</w:t>
      </w:r>
    </w:p>
    <w:p>
      <w:pPr>
        <w:pStyle w:val="Normal"/>
        <w:shd w:val="clear" w:color="auto" w:fill="FFFFFF"/>
        <w:ind w:firstLine="567"/>
        <w:jc w:val="both"/>
        <w:rPr>
          <w:spacing w:val="-2"/>
          <w:sz w:val="28"/>
        </w:rPr>
      </w:pPr>
      <w:bookmarkStart w:id="6" w:name="n3491"/>
      <w:bookmarkEnd w:id="6"/>
      <w:r>
        <w:rPr>
          <w:sz w:val="28"/>
          <w:szCs w:val="28"/>
        </w:rPr>
        <w:t xml:space="preserve">Проєкт акта пропонує викласти в новій редакції назву </w:t>
      </w:r>
      <w:r>
        <w:rPr>
          <w:spacing w:val="-2"/>
          <w:sz w:val="28"/>
          <w:szCs w:val="28"/>
        </w:rPr>
        <w:t xml:space="preserve">постанови Кабінету Міністрів України від 07 вересня 1993 року № 706 </w:t>
      </w:r>
      <w:r>
        <w:rPr>
          <w:sz w:val="28"/>
          <w:szCs w:val="28"/>
        </w:rPr>
        <w:t xml:space="preserve">та Положення </w:t>
      </w:r>
      <w:r>
        <w:rPr>
          <w:rFonts w:cs="Times New Roman"/>
          <w:spacing w:val="-2"/>
          <w:sz w:val="28"/>
          <w:szCs w:val="28"/>
        </w:rPr>
        <w:t xml:space="preserve">про </w:t>
      </w:r>
      <w:r>
        <w:rPr>
          <w:rFonts w:cs="Times New Roman"/>
          <w:sz w:val="28"/>
          <w:szCs w:val="28"/>
        </w:rPr>
        <w:t>порядок продажу, придбання, реєстрації, обліку і застосування спеціальних засобів самооборони, заряджених речовинами сльозоточивої та дратівної дії</w:t>
      </w:r>
      <w:r>
        <w:rPr>
          <w:spacing w:val="-2"/>
          <w:sz w:val="28"/>
        </w:rPr>
        <w:t>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bookmarkStart w:id="7" w:name="n3492"/>
      <w:bookmarkEnd w:id="7"/>
      <w:r>
        <w:rPr>
          <w:b/>
          <w:bCs/>
          <w:sz w:val="28"/>
          <w:szCs w:val="28"/>
        </w:rPr>
        <w:t>4. Правові аспекти</w:t>
      </w:r>
      <w:bookmarkStart w:id="8" w:name="n3493"/>
      <w:bookmarkEnd w:id="8"/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 цій сфері правового регулювання діють Конституція України, Кримінальний процесуальний кодекс України, Закон України «Про Національну поліцію», Постанова Верховної Ради України від 17 червня 1992 року № 2471 «Про право власності на окремі види майна», постанова Кабінету Міністрів України від 12 жовтня 1992 року № 576 «Про затвердження Положення про дозвільну систему», розпорядження Кабінету Міністрів України від 04 грудня 2019 року № 1413-р «Про затвердження плану заходів щодо дерегуляції господарської діяльності та покращення бізнес-клімату, плану дій щодо покращення умов ведення бізнесу в Україні та визнання такими, що втратили чинність, деяких розпоряджень Кабінету Міністрів України».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bookmarkStart w:id="9" w:name="n3494"/>
      <w:bookmarkEnd w:id="9"/>
      <w:r>
        <w:rPr>
          <w:b/>
          <w:bCs/>
          <w:sz w:val="28"/>
          <w:szCs w:val="28"/>
        </w:rPr>
        <w:t>5. Фінансово-економічне обґрунтування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shd w:fill="FFFFFF" w:val="clear"/>
        </w:rPr>
      </w:pPr>
      <w:bookmarkStart w:id="10" w:name="n3496"/>
      <w:bookmarkStart w:id="11" w:name="n3495"/>
      <w:bookmarkEnd w:id="10"/>
      <w:bookmarkEnd w:id="11"/>
      <w:r>
        <w:rPr>
          <w:sz w:val="28"/>
          <w:szCs w:val="28"/>
          <w:shd w:fill="FFFFFF" w:val="clear"/>
        </w:rPr>
        <w:t>Реалізація акта не потребуватиме додаткового фінансування з державного та/або місцевого бюджету.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Позиція заінтересованих сторін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12" w:name="n3497"/>
      <w:bookmarkEnd w:id="12"/>
      <w:r>
        <w:rPr>
          <w:sz w:val="28"/>
          <w:szCs w:val="28"/>
        </w:rPr>
        <w:t xml:space="preserve">Проєкт акта потребує проведення </w:t>
      </w:r>
      <w:hyperlink r:id="rId2" w:tgtFrame="https://mvs.gov.ua/uk/for_citizens/work-with-citizens/elektronni-konsultaciyi-z-gromadskistyu/informaciine-povidomlennya-pro-provedennya-elektronnix-konsultacii-z-gromadskistyu-shhodo-projektu-nakazu-mvs-ukrayini-pro-zatverdzennya-deyakix-normativno-pravo">
        <w:r>
          <w:rPr>
            <w:sz w:val="28"/>
            <w:szCs w:val="28"/>
          </w:rPr>
          <w:t>електронних консультацій з громадськістю</w:t>
        </w:r>
      </w:hyperlink>
      <w:r>
        <w:rPr>
          <w:sz w:val="28"/>
          <w:szCs w:val="28"/>
        </w:rPr>
        <w:t xml:space="preserve"> відповідно до </w:t>
      </w:r>
      <w:r>
        <w:rPr>
          <w:bCs/>
          <w:sz w:val="28"/>
          <w:szCs w:val="28"/>
        </w:rPr>
        <w:t xml:space="preserve">Закону України «Про засади державної регуляторної політики у сфері господарської діяльності», </w:t>
      </w:r>
      <w:r>
        <w:rPr>
          <w:sz w:val="28"/>
          <w:szCs w:val="28"/>
        </w:rPr>
        <w:t>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 листопада 2010 року № 996.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Зміни, передбачені проєктом акта, сприятимуть дерегуляції господарської діяльності для покращення бізнес-клімату, а також приведення Положення про порядок придбання, реєстрації, обліку, зберігання, носіння (перевезення) і застосування спеціальних засобів самооборони, заряджених речовинами сльозоточивої та дратівної дії</w:t>
      </w:r>
      <w:r>
        <w:rPr>
          <w:spacing w:val="-2"/>
          <w:sz w:val="28"/>
          <w:szCs w:val="28"/>
          <w:lang w:val="uk-UA"/>
        </w:rPr>
        <w:t>,</w:t>
      </w:r>
      <w:r>
        <w:rPr>
          <w:sz w:val="28"/>
          <w:szCs w:val="28"/>
          <w:shd w:fill="FFFFFF" w:val="clear"/>
          <w:lang w:val="uk-UA"/>
        </w:rPr>
        <w:t xml:space="preserve"> у відповідність до законодавства України</w:t>
      </w:r>
      <w:r>
        <w:rPr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акта не стосується питань функціонування самоврядування, прав та інтересів територіальних громад, місцевого і регіонального розвитку, соціально-трудової сфери, прав осіб з інвалідністю.</w:t>
      </w:r>
    </w:p>
    <w:p>
      <w:pPr>
        <w:pStyle w:val="Normal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Згідно із Законом України «Про засади державної регуляторної політики у сфері господарської діяльності» </w:t>
      </w:r>
      <w:r>
        <w:rPr>
          <w:sz w:val="28"/>
          <w:szCs w:val="28"/>
        </w:rPr>
        <w:t xml:space="preserve">проєкт акта </w:t>
      </w:r>
      <w:r>
        <w:rPr>
          <w:spacing w:val="-2"/>
          <w:sz w:val="28"/>
          <w:szCs w:val="28"/>
        </w:rPr>
        <w:t>є регуляторним актом.</w:t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13" w:name="n3500"/>
      <w:bookmarkStart w:id="14" w:name="n3500"/>
      <w:bookmarkEnd w:id="14"/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Оцінка відповідності</w:t>
      </w:r>
      <w:bookmarkStart w:id="15" w:name="n3509"/>
      <w:bookmarkStart w:id="16" w:name="n3501"/>
      <w:bookmarkEnd w:id="15"/>
      <w:bookmarkEnd w:id="16"/>
    </w:p>
    <w:p>
      <w:pPr>
        <w:pStyle w:val="Normal"/>
        <w:shd w:val="clear" w:color="auto" w:fill="FFFFFF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Проєкт акта не стосується зобов’язань України у сфері європейської інтеграції; прав та свобод, гарантованих Конвенцією про захист прав людини і основоположних свобод; не впливає на забезпечення рівних прав та можливостей жінок і чоловіків; не містить ризиків учинення корупційних правопорушень та правопорушень, пов’язаних із корупцією; не створює підстав для дискримінації.</w:t>
      </w:r>
    </w:p>
    <w:p>
      <w:pPr>
        <w:pStyle w:val="Rvps2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Верховної Ради України від 17 червня 1992 року № 2471 «Про право власності на окремі види майна» газові пістолети (револьвери) належать до видів майна, цивільний обіг яких обмежено. Згідно зі статтею 2 Закону України «Про адміністративні послуги» дія цього Закону не поширюється на відносини щодо набуття права стосовно об’єктів, обмежених у цивільному обігу. На проєкт акта не поширюється дія Закону України «Про адміністративну процедуру» відповідно до частини другої статті 1 цього ж Закону.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8. Прогноз результатів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акта дозволить зменшити кількість державних інструментів регулювання господарської діяльності у сфері продажу спеціальних засобів самооборони, заряджених речовинами сльозоточивої та дратівної дії, а також оптимізувати процедуру обігу зазначених </w:t>
      </w:r>
      <w:r>
        <w:rPr>
          <w:sz w:val="28"/>
          <w:szCs w:val="28"/>
          <w:shd w:fill="FFFFFF" w:val="clear"/>
        </w:rPr>
        <w:t xml:space="preserve">предметів, на які поширюється дозвільна система органів внутрішніх справ, у зв’язку з </w:t>
      </w:r>
      <w:r>
        <w:rPr>
          <w:color w:val="000000"/>
          <w:sz w:val="28"/>
          <w:szCs w:val="28"/>
          <w:shd w:fill="FFFFFF" w:val="clear"/>
          <w:lang w:eastAsia="en-GB"/>
        </w:rPr>
        <w:t>прийняттям Закону України «Про Національну поліцію</w:t>
      </w:r>
      <w:r>
        <w:rPr>
          <w:color w:val="000000"/>
          <w:sz w:val="28"/>
          <w:szCs w:val="28"/>
          <w:lang w:eastAsia="en-GB"/>
        </w:rPr>
        <w:t>» та початком роботи функціональної підсистеми «Єдиний реєстр зброї» єдиної інформаційної системи Міністерства внутрішніх справ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Міністр внутрішніх справ України                                         Ігор КЛИМЕНКО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  <w:shd w:fill="FFFFFF" w:val="clear"/>
        </w:rPr>
        <w:t>___ __________ 2025 рік</w:t>
      </w:r>
    </w:p>
    <w:sectPr>
      <w:headerReference w:type="default" r:id="rId3"/>
      <w:type w:val="nextPage"/>
      <w:pgSz w:w="11906" w:h="16838"/>
      <w:pgMar w:left="1701" w:right="567" w:gutter="0" w:header="397" w:top="709" w:footer="0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76812704"/>
    </w:sdt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  <w:p>
        <w:pPr>
          <w:pStyle w:val="Head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pPr>
      <w:keepNext w:val="true"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" w:customStyle="1">
    <w:name w:val="Підзаголовок Знак"/>
    <w:basedOn w:val="DefaultParagraphFont"/>
    <w:uiPriority w:val="11"/>
    <w:qFormat/>
    <w:rPr>
      <w:sz w:val="24"/>
      <w:szCs w:val="24"/>
    </w:rPr>
  </w:style>
  <w:style w:type="character" w:styleId="Style1" w:customStyle="1">
    <w:name w:val="Цитата Знак"/>
    <w:link w:val="Quote"/>
    <w:uiPriority w:val="29"/>
    <w:qFormat/>
    <w:rPr>
      <w:i/>
    </w:rPr>
  </w:style>
  <w:style w:type="character" w:styleId="Style2" w:customStyle="1">
    <w:name w:val="Насичена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3" w:customStyle="1">
    <w:name w:val="Текст виноски Знак"/>
    <w:uiPriority w:val="99"/>
    <w:qFormat/>
    <w:rPr>
      <w:sz w:val="18"/>
    </w:rPr>
  </w:style>
  <w:style w:type="character" w:styleId="Style4" w:customStyle="1">
    <w:name w:val="Символи ви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5" w:customStyle="1">
    <w:name w:val="Текст кінцевої виноски Знак"/>
    <w:uiPriority w:val="99"/>
    <w:qFormat/>
    <w:rPr>
      <w:sz w:val="20"/>
    </w:rPr>
  </w:style>
  <w:style w:type="character" w:styleId="Style6" w:customStyle="1">
    <w:name w:val="Символи кінцевої ви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qFormat/>
    <w:rPr>
      <w:b/>
      <w:bCs/>
      <w:sz w:val="24"/>
      <w:szCs w:val="24"/>
      <w:lang w:val="uk-UA"/>
    </w:rPr>
  </w:style>
  <w:style w:type="character" w:styleId="2" w:customStyle="1">
    <w:name w:val="Заголовок 2 Знак"/>
    <w:basedOn w:val="DefaultParagraphFont"/>
    <w:qFormat/>
    <w:rPr>
      <w:b/>
      <w:bCs/>
      <w:sz w:val="22"/>
      <w:szCs w:val="24"/>
      <w:lang w:val="uk-UA"/>
    </w:rPr>
  </w:style>
  <w:style w:type="character" w:styleId="Style7" w:customStyle="1">
    <w:name w:val="Назва Знак"/>
    <w:basedOn w:val="DefaultParagraphFont"/>
    <w:qFormat/>
    <w:rPr>
      <w:b/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Rvts15" w:customStyle="1">
    <w:name w:val="rvts15"/>
    <w:basedOn w:val="DefaultParagraphFont"/>
    <w:qFormat/>
    <w:rPr/>
  </w:style>
  <w:style w:type="character" w:styleId="Rvts82" w:customStyle="1">
    <w:name w:val="rvts82"/>
    <w:basedOn w:val="DefaultParagraphFont"/>
    <w:qFormat/>
    <w:rPr/>
  </w:style>
  <w:style w:type="character" w:styleId="Rvts9" w:customStyle="1">
    <w:name w:val="rvts9"/>
    <w:basedOn w:val="DefaultParagraphFont"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Rvts13" w:customStyle="1">
    <w:name w:val="rvts13"/>
    <w:basedOn w:val="DefaultParagraphFont"/>
    <w:qFormat/>
    <w:rPr/>
  </w:style>
  <w:style w:type="character" w:styleId="Rvts11" w:customStyle="1">
    <w:name w:val="rvts11"/>
    <w:basedOn w:val="DefaultParagraphFont"/>
    <w:qFormat/>
    <w:rPr/>
  </w:style>
  <w:style w:type="character" w:styleId="Appletabspan" w:customStyle="1">
    <w:name w:val="apple-tab-span"/>
    <w:basedOn w:val="DefaultParagraphFont"/>
    <w:qFormat/>
    <w:rPr/>
  </w:style>
  <w:style w:type="character" w:styleId="Style8" w:customStyle="1">
    <w:name w:val="Верхній колонтитул Знак"/>
    <w:basedOn w:val="DefaultParagraphFont"/>
    <w:uiPriority w:val="99"/>
    <w:qFormat/>
    <w:rPr>
      <w:sz w:val="24"/>
      <w:szCs w:val="24"/>
      <w:lang w:val="uk-UA"/>
    </w:rPr>
  </w:style>
  <w:style w:type="character" w:styleId="Style9" w:customStyle="1">
    <w:name w:val="Нижній колонтитул Знак"/>
    <w:basedOn w:val="DefaultParagraphFont"/>
    <w:uiPriority w:val="99"/>
    <w:qFormat/>
    <w:rPr>
      <w:sz w:val="24"/>
      <w:szCs w:val="24"/>
      <w:lang w:val="uk-UA"/>
    </w:rPr>
  </w:style>
  <w:style w:type="character" w:styleId="21" w:customStyle="1">
    <w:name w:val="Основной текст (2)_"/>
    <w:link w:val="22"/>
    <w:qFormat/>
    <w:rPr>
      <w:sz w:val="36"/>
      <w:szCs w:val="36"/>
    </w:rPr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1" w:customStyle="1">
    <w:name w:val="Покажчик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ubtitle">
    <w:name w:val="Subtitle"/>
    <w:basedOn w:val="Normal"/>
    <w:next w:val="Normal"/>
    <w:link w:val="Style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Style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111" w:customStyle="1">
    <w:name w:val="caption11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3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5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1" w:customStyle="1">
    <w:name w:val="index heading1"/>
    <w:basedOn w:val="Style10"/>
    <w:qFormat/>
    <w:pPr/>
    <w:rPr/>
  </w:style>
  <w:style w:type="paragraph" w:styleId="Indexheading2">
    <w:name w:val="index heading2"/>
    <w:basedOn w:val="Style10"/>
    <w:qFormat/>
    <w:pPr/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itle">
    <w:name w:val="Title"/>
    <w:basedOn w:val="Normal"/>
    <w:link w:val="Style7"/>
    <w:qFormat/>
    <w:pPr>
      <w:jc w:val="center"/>
    </w:pPr>
    <w:rPr>
      <w:b/>
    </w:rPr>
  </w:style>
  <w:style w:type="paragraph" w:styleId="Rvps7" w:customStyle="1">
    <w:name w:val="rvps7"/>
    <w:basedOn w:val="Normal"/>
    <w:qFormat/>
    <w:pPr>
      <w:spacing w:beforeAutospacing="1" w:afterAutospacing="1"/>
    </w:pPr>
    <w:rPr>
      <w:lang w:val="ru-RU"/>
    </w:rPr>
  </w:style>
  <w:style w:type="paragraph" w:styleId="Rvps2" w:customStyle="1">
    <w:name w:val="rvps2"/>
    <w:basedOn w:val="Normal"/>
    <w:qFormat/>
    <w:pPr>
      <w:spacing w:beforeAutospacing="1" w:afterAutospacing="1"/>
    </w:pPr>
    <w:rPr>
      <w:lang w:val="ru-RU"/>
    </w:rPr>
  </w:style>
  <w:style w:type="paragraph" w:styleId="Rvps12" w:customStyle="1">
    <w:name w:val="rvps12"/>
    <w:basedOn w:val="Normal"/>
    <w:qFormat/>
    <w:pPr>
      <w:spacing w:beforeAutospacing="1" w:afterAutospacing="1"/>
    </w:pPr>
    <w:rPr>
      <w:lang w:val="ru-RU"/>
    </w:rPr>
  </w:style>
  <w:style w:type="paragraph" w:styleId="Rvps1" w:customStyle="1">
    <w:name w:val="rvps1"/>
    <w:basedOn w:val="Normal"/>
    <w:qFormat/>
    <w:pPr>
      <w:spacing w:beforeAutospacing="1" w:afterAutospacing="1"/>
    </w:pPr>
    <w:rPr>
      <w:lang w:val="ru-RU"/>
    </w:rPr>
  </w:style>
  <w:style w:type="paragraph" w:styleId="Rvps8" w:customStyle="1">
    <w:name w:val="rvps8"/>
    <w:basedOn w:val="Normal"/>
    <w:qFormat/>
    <w:pPr>
      <w:spacing w:beforeAutospacing="1" w:afterAutospacing="1"/>
    </w:pPr>
    <w:rPr>
      <w:lang w:val="ru-RU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lang w:val="ru-RU"/>
    </w:rPr>
  </w:style>
  <w:style w:type="paragraph" w:styleId="Style12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 w:customStyle="1">
    <w:name w:val="Основной текст (2)"/>
    <w:basedOn w:val="Normal"/>
    <w:link w:val="21"/>
    <w:qFormat/>
    <w:pPr>
      <w:widowControl w:val="false"/>
      <w:ind w:left="180" w:firstLine="1180"/>
    </w:pPr>
    <w:rPr>
      <w:sz w:val="36"/>
      <w:szCs w:val="36"/>
      <w:lang w:val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4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val="uk-UA"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val="uk-UA" w:eastAsia="uk-UA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vs.gov.ua/uk/for_citizens/work-with-citizens/elektronni-konsultaciyi-z-gromadskistyu/informaciine-povidomlennya-pro-provedennya-elektronnix-konsultacii-z-gromadskistyu-shhodo-projektu-nakazu-mvs-ukrayini-pro-zatverdzennya-deyakix-normativno-pravovix-aktiv-z-pitan-organizaciyi-specialnogo-navcannya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B05F-9508-4001-8B2E-DD96FA02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Collabora_Office/22.05.20.1$Linux_X86_64 LibreOffice_project/bd9263bb6d0222e89e44fbff51d0d094dad8e281</Application>
  <AppVersion>15.0000</AppVersion>
  <Pages>3</Pages>
  <Words>786</Words>
  <Characters>5343</Characters>
  <CharactersWithSpaces>6172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2023-04-26T14:09:00Z</dcterms:created>
  <dc:creator>Karpenko</dc:creator>
  <dc:description/>
  <dc:language>uk-UA</dc:language>
  <cp:lastModifiedBy/>
  <cp:lastPrinted>2025-04-07T07:24:00Z</cp:lastPrinted>
  <dcterms:modified xsi:type="dcterms:W3CDTF">2025-04-11T08:44:08Z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