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b/>
          <w:b/>
          <w:sz w:val="28"/>
          <w:szCs w:val="28"/>
        </w:rPr>
      </w:pPr>
      <w:r>
        <w:rPr>
          <w:rFonts w:ascii="Times New Roman" w:hAnsi="Times New Roman"/>
          <w:b/>
          <w:sz w:val="28"/>
          <w:szCs w:val="28"/>
        </w:rPr>
        <w:t>Додаток 3</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Обґрунтування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t xml:space="preserve">(відповідно до пункту </w:t>
      </w:r>
      <w:bookmarkStart w:id="0" w:name="_Hlk94703984"/>
      <w:r>
        <w:rPr>
          <w:rFonts w:ascii="Times New Roman" w:hAnsi="Times New Roman"/>
          <w:sz w:val="28"/>
          <w:szCs w:val="28"/>
        </w:rPr>
        <w:t>4</w:t>
      </w:r>
      <w:r>
        <w:rPr>
          <w:rFonts w:ascii="Times New Roman" w:hAnsi="Times New Roman"/>
          <w:sz w:val="28"/>
          <w:szCs w:val="28"/>
          <w:vertAlign w:val="superscript"/>
        </w:rPr>
        <w:t xml:space="preserve">1  </w:t>
      </w:r>
      <w:r>
        <w:rPr>
          <w:rFonts w:ascii="Times New Roman" w:hAnsi="Times New Roman"/>
          <w:sz w:val="28"/>
          <w:szCs w:val="28"/>
        </w:rPr>
        <w:t>Постанови Кабінету Міністрів України від 11 жовтня 2016 р.  №</w:t>
      </w:r>
      <w:r>
        <w:rPr>
          <w:rFonts w:ascii="Times New Roman" w:hAnsi="Times New Roman"/>
          <w:sz w:val="28"/>
          <w:szCs w:val="28"/>
          <w:lang w:val="en-US"/>
        </w:rPr>
        <w:t xml:space="preserve"> </w:t>
      </w:r>
      <w:r>
        <w:rPr>
          <w:rFonts w:ascii="Times New Roman" w:hAnsi="Times New Roman"/>
          <w:sz w:val="28"/>
          <w:szCs w:val="28"/>
        </w:rPr>
        <w:t xml:space="preserve">710 «Про ефективне використання державних коштів» </w:t>
      </w:r>
      <w:bookmarkEnd w:id="0"/>
      <w:r>
        <w:rPr>
          <w:rFonts w:ascii="Times New Roman" w:hAnsi="Times New Roman"/>
          <w:sz w:val="28"/>
          <w:szCs w:val="28"/>
        </w:rPr>
        <w:t>(зі змінами))</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r>
    </w:p>
    <w:tbl>
      <w:tblPr>
        <w:tblW w:w="10206" w:type="dxa"/>
        <w:jc w:val="left"/>
        <w:tblInd w:w="-459" w:type="dxa"/>
        <w:tblLayout w:type="fixed"/>
        <w:tblCellMar>
          <w:top w:w="0" w:type="dxa"/>
          <w:left w:w="108" w:type="dxa"/>
          <w:bottom w:w="0" w:type="dxa"/>
          <w:right w:w="108" w:type="dxa"/>
        </w:tblCellMar>
        <w:tblLook w:val="04a0" w:noHBand="0" w:noVBand="1" w:firstColumn="1" w:lastRow="0" w:lastColumn="0" w:firstRow="1"/>
      </w:tblPr>
      <w:tblGrid>
        <w:gridCol w:w="590"/>
        <w:gridCol w:w="2528"/>
        <w:gridCol w:w="7088"/>
      </w:tblGrid>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1</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 xml:space="preserve">Замовник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Державна установа «Центр обслуговування підрозділів Міністерства внутрішніх справ України» (код за ЄДРПОУ 14317108)</w:t>
            </w:r>
          </w:p>
        </w:tc>
      </w:tr>
      <w:tr>
        <w:trPr>
          <w:trHeight w:val="860"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2</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b/>
                <w:b/>
                <w:sz w:val="24"/>
                <w:szCs w:val="24"/>
              </w:rPr>
            </w:pPr>
            <w:r>
              <w:rPr>
                <w:rFonts w:ascii="Times New Roman" w:hAnsi="Times New Roman"/>
                <w:b/>
                <w:sz w:val="24"/>
                <w:szCs w:val="24"/>
              </w:rPr>
              <w:t>код за ДК 021:2015 – 09130000-9, Нафта і дистиляти (Лот 1 - бензин А-95 ЄВРО, дизельне паливо ЄВРО - (в талонах), Лот 2 - бензин А-92 ЄВРО - (в талонах)</w:t>
            </w:r>
          </w:p>
        </w:tc>
      </w:tr>
      <w:tr>
        <w:trPr>
          <w:trHeight w:val="410"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3</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Вид процедури</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sz w:val="24"/>
                <w:szCs w:val="24"/>
              </w:rPr>
              <w:t>Відкриті торги</w:t>
            </w:r>
            <w:r>
              <w:rPr>
                <w:rFonts w:ascii="Times New Roman" w:hAnsi="Times New Roman"/>
                <w:sz w:val="24"/>
                <w:szCs w:val="24"/>
                <w:lang w:val="en-US"/>
              </w:rPr>
              <w:t xml:space="preserve"> </w:t>
            </w:r>
            <w:r>
              <w:rPr>
                <w:rFonts w:ascii="Times New Roman" w:hAnsi="Times New Roman"/>
                <w:sz w:val="24"/>
                <w:szCs w:val="24"/>
                <w:lang w:val="ru-RU"/>
              </w:rPr>
              <w:t xml:space="preserve">з </w:t>
            </w:r>
            <w:r>
              <w:rPr>
                <w:rFonts w:ascii="Times New Roman" w:hAnsi="Times New Roman"/>
                <w:sz w:val="24"/>
                <w:szCs w:val="24"/>
              </w:rPr>
              <w:t>особливостями</w:t>
            </w:r>
          </w:p>
        </w:tc>
      </w:tr>
      <w:tr>
        <w:trPr>
          <w:trHeight w:val="694"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4</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Ідентифікатор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color w:val="333333"/>
                <w:sz w:val="24"/>
                <w:szCs w:val="24"/>
                <w:shd w:fill="FFFFFF" w:val="clear"/>
              </w:rPr>
              <w:t>UA-2024-07-03-001789-a</w:t>
            </w:r>
          </w:p>
        </w:tc>
      </w:tr>
      <w:tr>
        <w:trPr>
          <w:trHeight w:val="4980"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5</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Обґрунтування технічних та якісних характеристик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tbl>
            <w:tblPr>
              <w:tblpPr w:bottomFromText="0" w:horzAnchor="text" w:leftFromText="180" w:rightFromText="180" w:tblpX="0" w:tblpY="1" w:topFromText="0" w:vertAnchor="text"/>
              <w:tblW w:w="665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629"/>
              <w:gridCol w:w="3921"/>
              <w:gridCol w:w="2108"/>
            </w:tblGrid>
            <w:tr>
              <w:trPr>
                <w:trHeight w:val="336" w:hRule="atLeast"/>
              </w:trPr>
              <w:tc>
                <w:tcPr>
                  <w:tcW w:w="6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left="-94" w:right="-108" w:hanging="0"/>
                    <w:jc w:val="center"/>
                    <w:rPr>
                      <w:rFonts w:ascii="Times New Roman" w:hAnsi="Times New Roman"/>
                      <w:b/>
                      <w:b/>
                      <w:bCs/>
                      <w:sz w:val="24"/>
                      <w:szCs w:val="24"/>
                    </w:rPr>
                  </w:pPr>
                  <w:r>
                    <w:rPr>
                      <w:rFonts w:ascii="Times New Roman" w:hAnsi="Times New Roman"/>
                      <w:b/>
                      <w:bCs/>
                      <w:sz w:val="24"/>
                      <w:szCs w:val="24"/>
                    </w:rPr>
                    <w:t xml:space="preserve">№ </w:t>
                  </w:r>
                </w:p>
                <w:p>
                  <w:pPr>
                    <w:pStyle w:val="Normal"/>
                    <w:widowControl w:val="false"/>
                    <w:spacing w:before="0" w:after="0"/>
                    <w:ind w:left="-94" w:right="-108" w:hanging="0"/>
                    <w:jc w:val="center"/>
                    <w:rPr>
                      <w:rFonts w:ascii="Times New Roman" w:hAnsi="Times New Roman"/>
                      <w:b/>
                      <w:b/>
                      <w:bCs/>
                      <w:sz w:val="24"/>
                      <w:szCs w:val="24"/>
                    </w:rPr>
                  </w:pPr>
                  <w:r>
                    <w:rPr>
                      <w:rFonts w:ascii="Times New Roman" w:hAnsi="Times New Roman"/>
                      <w:b/>
                      <w:bCs/>
                      <w:sz w:val="24"/>
                      <w:szCs w:val="24"/>
                    </w:rPr>
                    <w:t>з/п</w:t>
                  </w:r>
                </w:p>
              </w:tc>
              <w:tc>
                <w:tcPr>
                  <w:tcW w:w="3921"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Найменування майна</w:t>
                  </w:r>
                </w:p>
              </w:tc>
              <w:tc>
                <w:tcPr>
                  <w:tcW w:w="21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 xml:space="preserve">Обсяг, л </w:t>
                  </w:r>
                </w:p>
              </w:tc>
            </w:tr>
            <w:tr>
              <w:trPr>
                <w:trHeight w:val="14" w:hRule="atLeast"/>
              </w:trPr>
              <w:tc>
                <w:tcPr>
                  <w:tcW w:w="665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ru-RU"/>
                    </w:rPr>
                  </w:pPr>
                  <w:r>
                    <w:rPr>
                      <w:rFonts w:ascii="Times New Roman" w:hAnsi="Times New Roman"/>
                      <w:b/>
                      <w:sz w:val="24"/>
                      <w:szCs w:val="24"/>
                    </w:rPr>
                    <w:t>Лот 1</w:t>
                  </w:r>
                </w:p>
              </w:tc>
            </w:tr>
            <w:tr>
              <w:trPr>
                <w:trHeight w:val="14" w:hRule="atLeast"/>
              </w:trPr>
              <w:tc>
                <w:tcPr>
                  <w:tcW w:w="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1</w:t>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color w:val="FF0000"/>
                      <w:sz w:val="24"/>
                      <w:szCs w:val="24"/>
                    </w:rPr>
                  </w:pPr>
                  <w:r>
                    <w:rPr>
                      <w:rFonts w:ascii="Times New Roman" w:hAnsi="Times New Roman"/>
                      <w:sz w:val="24"/>
                      <w:szCs w:val="24"/>
                    </w:rPr>
                    <w:t>Бензин А-95 ЄВРО в талонах</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389 486</w:t>
                  </w:r>
                </w:p>
              </w:tc>
            </w:tr>
            <w:tr>
              <w:trPr>
                <w:trHeight w:val="14" w:hRule="atLeast"/>
              </w:trPr>
              <w:tc>
                <w:tcPr>
                  <w:tcW w:w="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2</w:t>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Дизельне паливо ЄВРО в талонах  </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1 068 553</w:t>
                  </w:r>
                </w:p>
              </w:tc>
            </w:tr>
            <w:tr>
              <w:trPr>
                <w:trHeight w:val="14" w:hRule="atLeast"/>
              </w:trPr>
              <w:tc>
                <w:tcPr>
                  <w:tcW w:w="665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ru-RU"/>
                    </w:rPr>
                  </w:pPr>
                  <w:r>
                    <w:rPr>
                      <w:rFonts w:ascii="Times New Roman" w:hAnsi="Times New Roman"/>
                      <w:b/>
                      <w:sz w:val="24"/>
                      <w:szCs w:val="24"/>
                    </w:rPr>
                    <w:t>Лот 2</w:t>
                  </w:r>
                </w:p>
              </w:tc>
            </w:tr>
            <w:tr>
              <w:trPr>
                <w:trHeight w:val="14" w:hRule="atLeast"/>
              </w:trPr>
              <w:tc>
                <w:tcPr>
                  <w:tcW w:w="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1</w:t>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Бензин А-92 ЄВРО в талонах</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2 409</w:t>
                  </w:r>
                </w:p>
              </w:tc>
            </w:tr>
          </w:tbl>
          <w:p>
            <w:pPr>
              <w:pStyle w:val="Normal"/>
              <w:keepNext w:val="true"/>
              <w:widowControl w:val="false"/>
              <w:numPr>
                <w:ilvl w:val="0"/>
                <w:numId w:val="0"/>
              </w:numPr>
              <w:overflowPunct w:val="true"/>
              <w:spacing w:lineRule="auto" w:line="240" w:before="0" w:after="0"/>
              <w:ind w:left="720" w:hanging="0"/>
              <w:contextualSpacing/>
              <w:jc w:val="center"/>
              <w:outlineLvl w:val="0"/>
              <w:rPr>
                <w:rFonts w:ascii="Times New Roman" w:hAnsi="Times New Roman"/>
                <w:b/>
                <w:b/>
                <w:sz w:val="24"/>
                <w:szCs w:val="24"/>
              </w:rPr>
            </w:pPr>
            <w:r>
              <w:rPr>
                <w:rFonts w:ascii="Times New Roman" w:hAnsi="Times New Roman"/>
                <w:b/>
                <w:sz w:val="24"/>
                <w:szCs w:val="24"/>
              </w:rPr>
              <w:t>Вимоги для Лот 1</w:t>
            </w:r>
          </w:p>
          <w:p>
            <w:pPr>
              <w:pStyle w:val="Normal"/>
              <w:widowControl w:val="false"/>
              <w:spacing w:lineRule="auto" w:line="240" w:before="0" w:after="0"/>
              <w:ind w:firstLine="709"/>
              <w:jc w:val="both"/>
              <w:rPr>
                <w:rFonts w:ascii="Times New Roman" w:hAnsi="Times New Roman"/>
                <w:b/>
                <w:b/>
                <w:bCs/>
                <w:sz w:val="24"/>
                <w:szCs w:val="24"/>
                <w:lang w:val="ru-RU"/>
              </w:rPr>
            </w:pPr>
            <w:r>
              <w:rPr>
                <w:rFonts w:ascii="Times New Roman" w:hAnsi="Times New Roman"/>
                <w:b/>
                <w:bCs/>
                <w:sz w:val="24"/>
                <w:szCs w:val="24"/>
                <w:lang w:val="ru-RU"/>
              </w:rPr>
              <w:t>1</w:t>
            </w:r>
            <w:r>
              <w:rPr>
                <w:rFonts w:ascii="Times New Roman" w:hAnsi="Times New Roman"/>
                <w:b/>
                <w:bCs/>
                <w:sz w:val="24"/>
                <w:szCs w:val="24"/>
              </w:rPr>
              <w:t xml:space="preserve">. Перелік необхідних технічних умов, яким повинна відповідати пропозиція Учасника </w:t>
            </w:r>
            <w:r>
              <w:rPr>
                <w:rFonts w:ascii="Times New Roman" w:hAnsi="Times New Roman"/>
                <w:b/>
                <w:sz w:val="24"/>
                <w:szCs w:val="24"/>
              </w:rPr>
              <w:t>Бензин А-95 ЄВРО та дизельне паливо ЄВРО в талонах</w:t>
            </w:r>
            <w:r>
              <w:rPr>
                <w:rFonts w:ascii="Times New Roman" w:hAnsi="Times New Roman"/>
                <w:b/>
                <w:sz w:val="24"/>
                <w:szCs w:val="24"/>
                <w:lang w:val="ru-RU"/>
              </w:rPr>
              <w:t>:</w:t>
            </w:r>
          </w:p>
          <w:p>
            <w:pPr>
              <w:pStyle w:val="Normal"/>
              <w:widowControl w:val="false"/>
              <w:shd w:val="clear" w:color="auto" w:fill="FFFFFF"/>
              <w:spacing w:before="0" w:after="0"/>
              <w:jc w:val="both"/>
              <w:rPr>
                <w:rFonts w:ascii="Times New Roman" w:hAnsi="Times New Roman" w:eastAsia="Times New Roman"/>
                <w:b/>
                <w:b/>
                <w:bCs/>
                <w:color w:val="00000A"/>
                <w:sz w:val="24"/>
                <w:szCs w:val="24"/>
                <w:lang w:eastAsia="zh-CN" w:bidi="hi-IN"/>
              </w:rPr>
            </w:pPr>
            <w:r>
              <w:rPr>
                <w:rFonts w:eastAsia="Times New Roman" w:ascii="Times New Roman" w:hAnsi="Times New Roman"/>
                <w:b/>
                <w:bCs/>
                <w:color w:val="00000A"/>
                <w:sz w:val="24"/>
                <w:szCs w:val="24"/>
                <w:lang w:eastAsia="zh-CN" w:bidi="hi-IN"/>
              </w:rPr>
              <w:t>Визначення термінів.</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Бланк дозвіл або талон.</w:t>
            </w:r>
          </w:p>
          <w:p>
            <w:pPr>
              <w:pStyle w:val="Normal"/>
              <w:widowControl w:val="false"/>
              <w:shd w:val="clear" w:color="auto" w:fill="FFFFFF"/>
              <w:spacing w:before="0" w:after="0"/>
              <w:jc w:val="both"/>
              <w:rPr>
                <w:rFonts w:ascii="Times New Roman" w:hAnsi="Times New Roman" w:eastAsia="Times New Roman"/>
                <w:color w:val="00000A"/>
                <w:sz w:val="24"/>
                <w:szCs w:val="24"/>
                <w:lang w:val="ru-RU" w:eastAsia="zh-CN" w:bidi="hi-IN"/>
              </w:rPr>
            </w:pP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це універсальна пластикова або картонна картка з вбудованим в неї мікрочіпом або системою цифрового захисту, яка дозволяє здійснити ідентифікацію Покупця та провести заправку транспортного засобу нафтопродуктами будь якого виду. </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val="ru-RU" w:eastAsia="zh-CN" w:bidi="hi-IN"/>
              </w:rPr>
              <w:t>Строк д</w:t>
            </w:r>
            <w:r>
              <w:rPr>
                <w:rFonts w:eastAsia="Times New Roman" w:ascii="Times New Roman" w:hAnsi="Times New Roman"/>
                <w:color w:val="00000A"/>
                <w:sz w:val="24"/>
                <w:szCs w:val="24"/>
                <w:lang w:eastAsia="zh-CN" w:bidi="hi-IN"/>
              </w:rPr>
              <w:t xml:space="preserve">ії бланків дозволу або талонів має бути не менше 12 місяців, з дати їх отримання </w:t>
            </w:r>
            <w:r>
              <w:rPr>
                <w:rFonts w:eastAsia="Times New Roman" w:cs="Lohit Devanagari" w:ascii="Liberation Serif" w:hAnsi="Liberation Serif"/>
                <w:bCs/>
                <w:color w:val="00000A"/>
                <w:sz w:val="24"/>
                <w:szCs w:val="24"/>
                <w:lang w:eastAsia="zh-CN" w:bidi="hi-IN"/>
              </w:rPr>
              <w:t>(передачі)</w:t>
            </w:r>
            <w:r>
              <w:rPr>
                <w:rFonts w:eastAsia="Times New Roman" w:ascii="Times New Roman" w:hAnsi="Times New Roman"/>
                <w:color w:val="00000A"/>
                <w:sz w:val="24"/>
                <w:szCs w:val="24"/>
                <w:lang w:eastAsia="zh-CN" w:bidi="hi-IN"/>
              </w:rPr>
              <w:t>.</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Особистий кабінет.</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та будувати статистичні звіти по витратам. </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1. Якість Товару повинна відповідати діючим в Україні Держстандартам (</w:t>
            </w:r>
            <w:r>
              <w:rPr>
                <w:rFonts w:ascii="Times New Roman" w:hAnsi="Times New Roman"/>
                <w:sz w:val="24"/>
                <w:szCs w:val="24"/>
              </w:rPr>
              <w:t>ДСТУ 7687-2015 «Бензини автомобільні ЄВРО. Технічні умови», ДСТУ 7688-2015 «Паливо дизельне ЄВРО. Технічні умови»)</w:t>
            </w:r>
            <w:r>
              <w:rPr>
                <w:rFonts w:eastAsia="Times New Roman" w:ascii="Times New Roman" w:hAnsi="Times New Roman"/>
                <w:color w:val="00000A"/>
                <w:sz w:val="24"/>
                <w:szCs w:val="24"/>
                <w:lang w:eastAsia="zh-CN" w:bidi="hi-IN"/>
              </w:rPr>
              <w:t xml:space="preserve"> і підтверджуватися відповідним документом при поставці товару.</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 </w:t>
            </w:r>
            <w:r>
              <w:rPr>
                <w:rFonts w:eastAsia="Times New Roman" w:ascii="Times New Roman" w:hAnsi="Times New Roman"/>
                <w:color w:val="00000A"/>
                <w:sz w:val="24"/>
                <w:szCs w:val="24"/>
                <w:lang w:eastAsia="zh-CN" w:bidi="hi-IN"/>
              </w:rPr>
              <w:t xml:space="preserve">Технічні та якісні вимоги до Товару повинні </w:t>
            </w:r>
            <w:r>
              <w:rPr>
                <w:rFonts w:eastAsia="Times New Roman" w:ascii="Times New Roman" w:hAnsi="Times New Roman"/>
                <w:color w:val="00000A"/>
                <w:sz w:val="24"/>
                <w:szCs w:val="24"/>
                <w:shd w:fill="FFFFFF" w:val="clear"/>
                <w:lang w:eastAsia="zh-CN" w:bidi="hi-IN"/>
              </w:rPr>
              <w:t>відповідати Технічному регламенту</w:t>
            </w:r>
            <w:r>
              <w:rPr>
                <w:rFonts w:eastAsia="Times New Roman" w:ascii="Times New Roman" w:hAnsi="Times New Roman"/>
                <w:color w:val="00000A"/>
                <w:sz w:val="24"/>
                <w:szCs w:val="24"/>
                <w:lang w:eastAsia="zh-CN" w:bidi="hi-I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2.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-20°C.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Відпуск Товару Замовнику </w:t>
            </w:r>
            <w:r>
              <w:rPr>
                <w:rFonts w:eastAsia="Times New Roman" w:ascii="Times New Roman" w:hAnsi="Times New Roman"/>
                <w:sz w:val="24"/>
                <w:szCs w:val="24"/>
                <w:lang w:eastAsia="zh-CN" w:bidi="hi-IN"/>
              </w:rPr>
              <w:t xml:space="preserve">здійснюється цілодобово по довірчим </w:t>
            </w:r>
            <w:r>
              <w:rPr>
                <w:rFonts w:eastAsia="Times New Roman" w:ascii="Times New Roman" w:hAnsi="Times New Roman"/>
                <w:color w:val="00000A"/>
                <w:sz w:val="24"/>
                <w:szCs w:val="24"/>
                <w:lang w:eastAsia="zh-CN" w:bidi="hi-IN"/>
              </w:rPr>
              <w:t>документам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на з АЗС Постачальника в м. Києві, Київській області та в кожній області України за виключенням окупованих територій. Покупець отримує довірчі документи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від Постачальника на підставі заявок Покупця. </w:t>
            </w:r>
          </w:p>
          <w:p>
            <w:pPr>
              <w:pStyle w:val="Normal"/>
              <w:widowControl w:val="false"/>
              <w:spacing w:before="0" w:after="0"/>
              <w:ind w:firstLine="624"/>
              <w:jc w:val="both"/>
              <w:rPr>
                <w:rFonts w:ascii="Times New Roman" w:hAnsi="Times New Roman" w:eastAsia="Times New Roman"/>
                <w:i/>
                <w:i/>
                <w:color w:val="00000A"/>
                <w:sz w:val="24"/>
                <w:szCs w:val="24"/>
                <w:u w:val="single"/>
                <w:lang w:eastAsia="zh-CN" w:bidi="hi-IN"/>
              </w:rPr>
            </w:pPr>
            <w:r>
              <w:rPr>
                <w:rFonts w:eastAsia="Times New Roman" w:ascii="Times New Roman" w:hAnsi="Times New Roman"/>
                <w:color w:val="00000A"/>
                <w:sz w:val="24"/>
                <w:szCs w:val="24"/>
                <w:lang w:eastAsia="zh-CN" w:bidi="hi-I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pPr>
              <w:pStyle w:val="Normal"/>
              <w:keepNext w:val="true"/>
              <w:widowControl w:val="false"/>
              <w:numPr>
                <w:ilvl w:val="0"/>
                <w:numId w:val="0"/>
              </w:numPr>
              <w:overflowPunct w:val="true"/>
              <w:spacing w:lineRule="auto" w:line="240" w:before="0" w:after="0"/>
              <w:ind w:left="720" w:hanging="0"/>
              <w:contextualSpacing/>
              <w:jc w:val="center"/>
              <w:outlineLvl w:val="0"/>
              <w:rPr>
                <w:rFonts w:ascii="Times New Roman" w:hAnsi="Times New Roman"/>
                <w:b/>
                <w:b/>
                <w:sz w:val="24"/>
                <w:szCs w:val="24"/>
              </w:rPr>
            </w:pPr>
            <w:r>
              <w:rPr>
                <w:rFonts w:ascii="Times New Roman" w:hAnsi="Times New Roman"/>
                <w:b/>
                <w:sz w:val="24"/>
                <w:szCs w:val="24"/>
              </w:rPr>
              <w:t>Вимоги для Лот 2</w:t>
            </w:r>
          </w:p>
          <w:p>
            <w:pPr>
              <w:pStyle w:val="Normal"/>
              <w:widowControl w:val="false"/>
              <w:spacing w:lineRule="auto" w:line="240" w:before="0" w:after="0"/>
              <w:ind w:firstLine="709"/>
              <w:jc w:val="both"/>
              <w:rPr>
                <w:rFonts w:ascii="Times New Roman" w:hAnsi="Times New Roman"/>
                <w:b/>
                <w:b/>
                <w:bCs/>
                <w:sz w:val="24"/>
                <w:szCs w:val="24"/>
                <w:lang w:val="ru-RU"/>
              </w:rPr>
            </w:pPr>
            <w:r>
              <w:rPr>
                <w:rFonts w:ascii="Times New Roman" w:hAnsi="Times New Roman"/>
                <w:b/>
                <w:bCs/>
                <w:sz w:val="24"/>
                <w:szCs w:val="24"/>
                <w:lang w:val="ru-RU"/>
              </w:rPr>
              <w:t>1</w:t>
            </w:r>
            <w:r>
              <w:rPr>
                <w:rFonts w:ascii="Times New Roman" w:hAnsi="Times New Roman"/>
                <w:b/>
                <w:bCs/>
                <w:sz w:val="24"/>
                <w:szCs w:val="24"/>
              </w:rPr>
              <w:t xml:space="preserve">. Перелік необхідних технічних умов, яким повинна відповідати пропозиція Учасника </w:t>
            </w:r>
            <w:r>
              <w:rPr>
                <w:rFonts w:ascii="Times New Roman" w:hAnsi="Times New Roman"/>
                <w:b/>
                <w:sz w:val="24"/>
                <w:szCs w:val="24"/>
              </w:rPr>
              <w:t xml:space="preserve"> бензин А-92 ЄВРО в талонах</w:t>
            </w:r>
            <w:r>
              <w:rPr>
                <w:rFonts w:ascii="Times New Roman" w:hAnsi="Times New Roman"/>
                <w:b/>
                <w:sz w:val="24"/>
                <w:szCs w:val="24"/>
                <w:lang w:val="ru-RU"/>
              </w:rPr>
              <w:t>:</w:t>
            </w:r>
          </w:p>
          <w:p>
            <w:pPr>
              <w:pStyle w:val="Normal"/>
              <w:widowControl w:val="false"/>
              <w:shd w:val="clear" w:color="auto" w:fill="FFFFFF"/>
              <w:spacing w:before="0" w:after="0"/>
              <w:jc w:val="both"/>
              <w:rPr>
                <w:rFonts w:ascii="Times New Roman" w:hAnsi="Times New Roman" w:eastAsia="Times New Roman"/>
                <w:b/>
                <w:b/>
                <w:bCs/>
                <w:color w:val="00000A"/>
                <w:sz w:val="24"/>
                <w:szCs w:val="24"/>
                <w:lang w:eastAsia="zh-CN" w:bidi="hi-IN"/>
              </w:rPr>
            </w:pPr>
            <w:r>
              <w:rPr>
                <w:rFonts w:eastAsia="Times New Roman" w:ascii="Times New Roman" w:hAnsi="Times New Roman"/>
                <w:b/>
                <w:bCs/>
                <w:color w:val="00000A"/>
                <w:sz w:val="24"/>
                <w:szCs w:val="24"/>
                <w:lang w:eastAsia="zh-CN" w:bidi="hi-IN"/>
              </w:rPr>
              <w:t>Визначення термінів.</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Бланк дозвіл або талон.</w:t>
            </w:r>
          </w:p>
          <w:p>
            <w:pPr>
              <w:pStyle w:val="Normal"/>
              <w:widowControl w:val="false"/>
              <w:shd w:val="clear" w:color="auto" w:fill="FFFFFF"/>
              <w:spacing w:before="0" w:after="0"/>
              <w:jc w:val="both"/>
              <w:rPr>
                <w:rFonts w:ascii="Times New Roman" w:hAnsi="Times New Roman" w:eastAsia="Times New Roman"/>
                <w:color w:val="00000A"/>
                <w:sz w:val="24"/>
                <w:szCs w:val="24"/>
                <w:lang w:val="ru-RU" w:eastAsia="zh-CN" w:bidi="hi-IN"/>
              </w:rPr>
            </w:pP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це універсальна пластикова або картонна картка з вбудованим в неї мікрочіпом або системою цифрового захисту, яка дозволяє здійснити ідентифікацію Покупця та провести заправку транспортного засобу нафтопродуктами будь якого виду. </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val="ru-RU" w:eastAsia="zh-CN" w:bidi="hi-IN"/>
              </w:rPr>
              <w:t>Строк д</w:t>
            </w:r>
            <w:r>
              <w:rPr>
                <w:rFonts w:eastAsia="Times New Roman" w:ascii="Times New Roman" w:hAnsi="Times New Roman"/>
                <w:color w:val="00000A"/>
                <w:sz w:val="24"/>
                <w:szCs w:val="24"/>
                <w:lang w:eastAsia="zh-CN" w:bidi="hi-IN"/>
              </w:rPr>
              <w:t xml:space="preserve">ії бланків дозволу або талонів має бути не менше 12 місяців, з дати їх отримання </w:t>
            </w:r>
            <w:r>
              <w:rPr>
                <w:rFonts w:eastAsia="Times New Roman" w:cs="Lohit Devanagari" w:ascii="Liberation Serif" w:hAnsi="Liberation Serif"/>
                <w:bCs/>
                <w:color w:val="00000A"/>
                <w:sz w:val="24"/>
                <w:szCs w:val="24"/>
                <w:lang w:eastAsia="zh-CN" w:bidi="hi-IN"/>
              </w:rPr>
              <w:t>(передачі)</w:t>
            </w:r>
            <w:r>
              <w:rPr>
                <w:rFonts w:eastAsia="Times New Roman" w:ascii="Times New Roman" w:hAnsi="Times New Roman"/>
                <w:color w:val="00000A"/>
                <w:sz w:val="24"/>
                <w:szCs w:val="24"/>
                <w:lang w:eastAsia="zh-CN" w:bidi="hi-IN"/>
              </w:rPr>
              <w:t>.</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Особистий кабінет.</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та будувати статистичні звіти по витратам. </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1. Якість Товару повинна відповідати діючим в Україні Держстандартам (</w:t>
            </w:r>
            <w:r>
              <w:rPr>
                <w:rFonts w:ascii="Times New Roman" w:hAnsi="Times New Roman"/>
                <w:sz w:val="24"/>
                <w:szCs w:val="24"/>
              </w:rPr>
              <w:t>ДСТУ 7687-2015 «Бензини автомобільні ЄВРО. Технічні умови». Технічні умови»)</w:t>
            </w:r>
            <w:r>
              <w:rPr>
                <w:rFonts w:eastAsia="Times New Roman" w:ascii="Times New Roman" w:hAnsi="Times New Roman"/>
                <w:color w:val="00000A"/>
                <w:sz w:val="24"/>
                <w:szCs w:val="24"/>
                <w:lang w:eastAsia="zh-CN" w:bidi="hi-IN"/>
              </w:rPr>
              <w:t xml:space="preserve"> і підтверджуватися відповідним документом при поставці товару.</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 </w:t>
            </w:r>
            <w:r>
              <w:rPr>
                <w:rFonts w:eastAsia="Times New Roman" w:ascii="Times New Roman" w:hAnsi="Times New Roman"/>
                <w:color w:val="00000A"/>
                <w:sz w:val="24"/>
                <w:szCs w:val="24"/>
                <w:lang w:eastAsia="zh-CN" w:bidi="hi-IN"/>
              </w:rPr>
              <w:t xml:space="preserve">Технічні та якісні вимоги до Товару повинні </w:t>
            </w:r>
            <w:r>
              <w:rPr>
                <w:rFonts w:eastAsia="Times New Roman" w:ascii="Times New Roman" w:hAnsi="Times New Roman"/>
                <w:color w:val="00000A"/>
                <w:sz w:val="24"/>
                <w:szCs w:val="24"/>
                <w:shd w:fill="FFFFFF" w:val="clear"/>
                <w:lang w:eastAsia="zh-CN" w:bidi="hi-IN"/>
              </w:rPr>
              <w:t>відповідати Технічному регламенту</w:t>
            </w:r>
            <w:r>
              <w:rPr>
                <w:rFonts w:eastAsia="Times New Roman" w:ascii="Times New Roman" w:hAnsi="Times New Roman"/>
                <w:color w:val="00000A"/>
                <w:sz w:val="24"/>
                <w:szCs w:val="24"/>
                <w:lang w:eastAsia="zh-CN" w:bidi="hi-I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2. Бензин (А-92) повинен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-20°C.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Відпуск Товару Замовнику </w:t>
            </w:r>
            <w:r>
              <w:rPr>
                <w:rFonts w:eastAsia="Times New Roman" w:ascii="Times New Roman" w:hAnsi="Times New Roman"/>
                <w:sz w:val="24"/>
                <w:szCs w:val="24"/>
                <w:lang w:eastAsia="zh-CN" w:bidi="hi-IN"/>
              </w:rPr>
              <w:t xml:space="preserve">здійснюється цілодобово по довірчим </w:t>
            </w:r>
            <w:r>
              <w:rPr>
                <w:rFonts w:eastAsia="Times New Roman" w:ascii="Times New Roman" w:hAnsi="Times New Roman"/>
                <w:color w:val="00000A"/>
                <w:sz w:val="24"/>
                <w:szCs w:val="24"/>
                <w:lang w:eastAsia="zh-CN" w:bidi="hi-IN"/>
              </w:rPr>
              <w:t>документам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на з АЗС Постачальника в м. Києві, Київській області та в кожній області України за виключенням окупованих територій. Покупець отримує довірчі документи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від Постачальника на підставі заявок Покупця. </w:t>
            </w:r>
          </w:p>
          <w:p>
            <w:pPr>
              <w:pStyle w:val="Normal"/>
              <w:widowControl w:val="false"/>
              <w:spacing w:before="0" w:after="0"/>
              <w:ind w:firstLine="624"/>
              <w:jc w:val="both"/>
              <w:rPr>
                <w:rFonts w:ascii="Times New Roman" w:hAnsi="Times New Roman" w:eastAsia="Times New Roman"/>
                <w:i/>
                <w:i/>
                <w:color w:val="00000A"/>
                <w:sz w:val="24"/>
                <w:szCs w:val="24"/>
                <w:u w:val="single"/>
                <w:lang w:eastAsia="zh-CN" w:bidi="hi-IN"/>
              </w:rPr>
            </w:pPr>
            <w:r>
              <w:rPr>
                <w:rFonts w:eastAsia="Times New Roman" w:ascii="Times New Roman" w:hAnsi="Times New Roman"/>
                <w:color w:val="00000A"/>
                <w:sz w:val="24"/>
                <w:szCs w:val="24"/>
                <w:lang w:eastAsia="zh-CN" w:bidi="hi-I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tc>
      </w:tr>
      <w:tr>
        <w:trPr>
          <w:trHeight w:val="1696"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6</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 xml:space="preserve">Обґрунтування розміру бюджетного призначення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color w:val="000000"/>
                <w:sz w:val="24"/>
                <w:szCs w:val="24"/>
              </w:rPr>
            </w:pPr>
            <w:r>
              <w:rPr>
                <w:rFonts w:eastAsia="Times New Roman" w:ascii="Times New Roman" w:hAnsi="Times New Roman"/>
                <w:color w:val="000000"/>
                <w:sz w:val="24"/>
                <w:szCs w:val="24"/>
                <w:lang w:eastAsia="ru-RU"/>
              </w:rPr>
              <w:t>Розмір бюджетного призначення визначено з урахуванням потреби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та в межах передбачених у кошторисі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бюджетних асигнувань за бюджетною програмою  </w:t>
            </w:r>
            <w:r>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trPr>
          <w:trHeight w:val="747"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7</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Очікувана вартість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sz w:val="24"/>
                <w:szCs w:val="24"/>
                <w:lang w:eastAsia="ru-RU"/>
              </w:rPr>
            </w:pPr>
            <w:r>
              <w:rPr>
                <w:rFonts w:ascii="Times New Roman" w:hAnsi="Times New Roman"/>
                <w:sz w:val="24"/>
                <w:szCs w:val="24"/>
              </w:rPr>
              <w:t xml:space="preserve">64 166 464,00 </w:t>
            </w:r>
            <w:r>
              <w:rPr>
                <w:rFonts w:ascii="Times New Roman" w:hAnsi="Times New Roman"/>
                <w:sz w:val="24"/>
                <w:szCs w:val="24"/>
                <w:lang w:val="ru-RU"/>
              </w:rPr>
              <w:t>грн</w:t>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8</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Обґрунтування очікуваної вартості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firstLine="345"/>
              <w:jc w:val="both"/>
              <w:rPr>
                <w:rFonts w:ascii="Times New Roman" w:hAnsi="Times New Roman"/>
                <w:color w:val="000000"/>
                <w:sz w:val="24"/>
                <w:szCs w:val="24"/>
                <w:shd w:fill="FFFFFF" w:val="clear"/>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fill="FFFFFF" w:val="clear"/>
              </w:rPr>
              <w:t xml:space="preserve"> </w:t>
            </w:r>
          </w:p>
        </w:tc>
      </w:tr>
    </w:tbl>
    <w:p>
      <w:pPr>
        <w:pStyle w:val="NoSpacing"/>
        <w:jc w:val="both"/>
        <w:rPr>
          <w:rFonts w:ascii="Times New Roman" w:hAnsi="Times New Roman"/>
          <w:sz w:val="24"/>
          <w:szCs w:val="24"/>
        </w:rPr>
      </w:pPr>
      <w:r>
        <w:rPr/>
      </w:r>
    </w:p>
    <w:sectPr>
      <w:headerReference w:type="default" r:id="rId2"/>
      <w:type w:val="nextPage"/>
      <w:pgSz w:w="11906" w:h="16838"/>
      <w:pgMar w:left="1701" w:right="567" w:gutter="0" w:header="709" w:top="766"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CYR">
    <w:charset w:val="01"/>
    <w:family w:val="roman"/>
    <w:pitch w:val="variable"/>
  </w:font>
  <w:font w:name="Carlito">
    <w:altName w:val="Calibri"/>
    <w:charset w:val="01"/>
    <w:family w:val="swiss"/>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21320008"/>
    </w:sdtPr>
    <w:sdtContent>
      <w:p>
        <w:pPr>
          <w:pStyle w:val="Header"/>
          <w:jc w:val="center"/>
          <w:rPr/>
        </w:pPr>
        <w:r>
          <w:rPr/>
          <w:fldChar w:fldCharType="begin"/>
        </w:r>
        <w:r>
          <w:rPr/>
          <w:instrText xml:space="preserve"> PAGE </w:instrText>
        </w:r>
        <w:r>
          <w:rPr/>
          <w:fldChar w:fldCharType="separate"/>
        </w:r>
        <w:r>
          <w:rPr/>
          <w:t>3</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alibri"/>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33b3"/>
    <w:pPr>
      <w:widowControl/>
      <w:bidi w:val="0"/>
      <w:spacing w:lineRule="auto" w:line="276" w:before="0" w:after="200"/>
      <w:jc w:val="left"/>
    </w:pPr>
    <w:rPr>
      <w:rFonts w:ascii="Calibri" w:hAnsi="Calibri" w:cs="Times New Roman" w:eastAsia="Calibri"/>
      <w:color w:val="auto"/>
      <w:kern w:val="0"/>
      <w:sz w:val="22"/>
      <w:szCs w:val="22"/>
      <w:lang w:eastAsia="en-US" w:val="uk-UA" w:bidi="ar-SA"/>
    </w:rPr>
  </w:style>
  <w:style w:type="paragraph" w:styleId="Heading1">
    <w:name w:val="Heading 1"/>
    <w:basedOn w:val="Normal"/>
    <w:link w:val="1"/>
    <w:uiPriority w:val="9"/>
    <w:qFormat/>
    <w:rsid w:val="00175d5d"/>
    <w:pPr>
      <w:spacing w:lineRule="auto" w:line="240" w:beforeAutospacing="1" w:afterAutospacing="1"/>
      <w:outlineLvl w:val="0"/>
    </w:pPr>
    <w:rPr>
      <w:rFonts w:ascii="Times New Roman" w:hAnsi="Times New Roman" w:eastAsia="Times New Roman"/>
      <w:b/>
      <w:bCs/>
      <w:kern w:val="2"/>
      <w:sz w:val="48"/>
      <w:szCs w:val="48"/>
      <w:lang w:val="x-none" w:eastAsia="uk-UA"/>
    </w:rPr>
  </w:style>
  <w:style w:type="paragraph" w:styleId="Heading2">
    <w:name w:val="Heading 2"/>
    <w:basedOn w:val="Normal"/>
    <w:next w:val="Normal"/>
    <w:link w:val="2"/>
    <w:uiPriority w:val="9"/>
    <w:unhideWhenUsed/>
    <w:qFormat/>
    <w:rsid w:val="008b35e8"/>
    <w:pPr>
      <w:keepNext w:val="true"/>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unhideWhenUsed/>
    <w:qFormat/>
    <w:rPr/>
  </w:style>
  <w:style w:type="character" w:styleId="1" w:customStyle="1">
    <w:name w:val="Заголовок 1 Знак"/>
    <w:uiPriority w:val="9"/>
    <w:qFormat/>
    <w:rsid w:val="00175d5d"/>
    <w:rPr>
      <w:rFonts w:eastAsia="Times New Roman" w:cs="Times New Roman"/>
      <w:b/>
      <w:bCs/>
      <w:kern w:val="2"/>
      <w:sz w:val="48"/>
      <w:szCs w:val="48"/>
      <w:lang w:eastAsia="uk-UA"/>
    </w:rPr>
  </w:style>
  <w:style w:type="character" w:styleId="Qabuget" w:customStyle="1">
    <w:name w:val="qa_buget"/>
    <w:basedOn w:val="DefaultParagraphFont"/>
    <w:qFormat/>
    <w:rsid w:val="00175d5d"/>
    <w:rPr/>
  </w:style>
  <w:style w:type="character" w:styleId="Qacode" w:customStyle="1">
    <w:name w:val="qa_code"/>
    <w:basedOn w:val="DefaultParagraphFont"/>
    <w:qFormat/>
    <w:rsid w:val="00175d5d"/>
    <w:rPr/>
  </w:style>
  <w:style w:type="character" w:styleId="Style7" w:customStyle="1">
    <w:name w:val="Текст у виносці Знак"/>
    <w:link w:val="BalloonText"/>
    <w:uiPriority w:val="99"/>
    <w:qFormat/>
    <w:rsid w:val="00846ac4"/>
    <w:rPr>
      <w:rFonts w:ascii="Segoe UI" w:hAnsi="Segoe UI" w:cs="Segoe UI"/>
      <w:sz w:val="18"/>
      <w:szCs w:val="18"/>
    </w:rPr>
  </w:style>
  <w:style w:type="character" w:styleId="Hhidden" w:customStyle="1">
    <w:name w:val="h-hidden"/>
    <w:qFormat/>
    <w:rsid w:val="000f15ca"/>
    <w:rPr/>
  </w:style>
  <w:style w:type="character" w:styleId="Hyperlink">
    <w:name w:val="Hyperlink"/>
    <w:uiPriority w:val="99"/>
    <w:semiHidden/>
    <w:unhideWhenUsed/>
    <w:rsid w:val="001d7526"/>
    <w:rPr>
      <w:color w:val="0000FF"/>
      <w:u w:val="single"/>
    </w:rPr>
  </w:style>
  <w:style w:type="character" w:styleId="Annotationreference">
    <w:name w:val="annotation reference"/>
    <w:uiPriority w:val="99"/>
    <w:semiHidden/>
    <w:unhideWhenUsed/>
    <w:qFormat/>
    <w:rsid w:val="00b80136"/>
    <w:rPr>
      <w:sz w:val="16"/>
      <w:szCs w:val="16"/>
    </w:rPr>
  </w:style>
  <w:style w:type="character" w:styleId="Style8" w:customStyle="1">
    <w:name w:val="Текст примітки Знак"/>
    <w:link w:val="Annotationtext"/>
    <w:uiPriority w:val="99"/>
    <w:semiHidden/>
    <w:qFormat/>
    <w:rsid w:val="00b80136"/>
    <w:rPr>
      <w:rFonts w:ascii="Calibri" w:hAnsi="Calibri" w:cs="Times New Roman"/>
      <w:lang w:eastAsia="en-US"/>
    </w:rPr>
  </w:style>
  <w:style w:type="character" w:styleId="Style9" w:customStyle="1">
    <w:name w:val="Тема примітки Знак"/>
    <w:link w:val="Annotationsubject"/>
    <w:uiPriority w:val="99"/>
    <w:semiHidden/>
    <w:qFormat/>
    <w:rsid w:val="00b80136"/>
    <w:rPr>
      <w:rFonts w:ascii="Calibri" w:hAnsi="Calibri" w:cs="Times New Roman"/>
      <w:b/>
      <w:bCs/>
      <w:lang w:eastAsia="en-US"/>
    </w:rPr>
  </w:style>
  <w:style w:type="character" w:styleId="Style10" w:customStyle="1">
    <w:name w:val="Без інтервалів Знак"/>
    <w:link w:val="NoSpacing"/>
    <w:qFormat/>
    <w:locked/>
    <w:rsid w:val="005051e6"/>
    <w:rPr>
      <w:rFonts w:ascii="Calibri" w:hAnsi="Calibri" w:cs="Times New Roman"/>
      <w:sz w:val="22"/>
      <w:szCs w:val="22"/>
      <w:lang w:eastAsia="en-US"/>
    </w:rPr>
  </w:style>
  <w:style w:type="character" w:styleId="Style11" w:customStyle="1">
    <w:name w:val="Основний текст Знак"/>
    <w:qFormat/>
    <w:rsid w:val="00d32609"/>
    <w:rPr>
      <w:rFonts w:ascii="Times New Roman CYR" w:hAnsi="Times New Roman CYR" w:eastAsia="Times New Roman" w:cs="Times New Roman"/>
      <w:sz w:val="24"/>
      <w:szCs w:val="24"/>
      <w:lang w:val="ru-RU" w:eastAsia="ru-RU"/>
    </w:rPr>
  </w:style>
  <w:style w:type="character" w:styleId="Strong">
    <w:name w:val="Strong"/>
    <w:qFormat/>
    <w:rsid w:val="00907e51"/>
    <w:rPr>
      <w:b/>
      <w:bCs/>
    </w:rPr>
  </w:style>
  <w:style w:type="character" w:styleId="2" w:customStyle="1">
    <w:name w:val="Заголовок 2 Знак"/>
    <w:uiPriority w:val="9"/>
    <w:qFormat/>
    <w:rsid w:val="008b35e8"/>
    <w:rPr>
      <w:rFonts w:ascii="Calibri Light" w:hAnsi="Calibri Light" w:eastAsia="Times New Roman" w:cs="Times New Roman"/>
      <w:b/>
      <w:bCs/>
      <w:i/>
      <w:iCs/>
      <w:sz w:val="28"/>
      <w:szCs w:val="28"/>
      <w:lang w:eastAsia="en-US"/>
    </w:rPr>
  </w:style>
  <w:style w:type="character" w:styleId="Style12" w:customStyle="1">
    <w:name w:val="Абзац списку Знак"/>
    <w:link w:val="ListParagraph"/>
    <w:uiPriority w:val="99"/>
    <w:qFormat/>
    <w:locked/>
    <w:rsid w:val="00b4271d"/>
    <w:rPr>
      <w:rFonts w:eastAsia="Times New Roman" w:cs="Times New Roman"/>
      <w:lang w:eastAsia="ru-RU"/>
    </w:rPr>
  </w:style>
  <w:style w:type="character" w:styleId="Style13" w:customStyle="1">
    <w:name w:val="Верхній колонтитул Знак"/>
    <w:basedOn w:val="DefaultParagraphFont"/>
    <w:uiPriority w:val="99"/>
    <w:qFormat/>
    <w:rsid w:val="00d96cdc"/>
    <w:rPr>
      <w:rFonts w:ascii="Calibri" w:hAnsi="Calibri" w:cs="Times New Roman"/>
      <w:sz w:val="22"/>
      <w:szCs w:val="22"/>
      <w:lang w:eastAsia="en-US"/>
    </w:rPr>
  </w:style>
  <w:style w:type="character" w:styleId="Style14" w:customStyle="1">
    <w:name w:val="Нижній колонтитул Знак"/>
    <w:basedOn w:val="DefaultParagraphFont"/>
    <w:uiPriority w:val="99"/>
    <w:qFormat/>
    <w:rsid w:val="00d96cdc"/>
    <w:rPr>
      <w:rFonts w:ascii="Calibri" w:hAnsi="Calibri" w:cs="Times New Roman"/>
      <w:sz w:val="22"/>
      <w:szCs w:val="22"/>
      <w:lang w:eastAsia="en-US"/>
    </w:rPr>
  </w:style>
  <w:style w:type="paragraph" w:styleId="Style15">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link w:val="Style11"/>
    <w:rsid w:val="00d32609"/>
    <w:pPr>
      <w:widowControl w:val="false"/>
      <w:spacing w:lineRule="auto" w:line="240" w:before="0" w:after="120"/>
    </w:pPr>
    <w:rPr>
      <w:rFonts w:ascii="Times New Roman CYR" w:hAnsi="Times New Roman CYR" w:eastAsia="Times New Roman"/>
      <w:sz w:val="24"/>
      <w:szCs w:val="24"/>
      <w:lang w:val="ru-RU" w:eastAsia="ru-RU"/>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6">
    <w:name w:val="Покажчик"/>
    <w:basedOn w:val="Normal"/>
    <w:qFormat/>
    <w:pPr>
      <w:suppressLineNumbers/>
    </w:pPr>
    <w:rPr>
      <w:rFonts w:cs="Noto Sans Devanagari"/>
      <w:lang w:val="zxx" w:eastAsia="zxx" w:bidi="zxx"/>
    </w:rPr>
  </w:style>
  <w:style w:type="paragraph" w:styleId="BalloonText">
    <w:name w:val="Balloon Text"/>
    <w:basedOn w:val="Normal"/>
    <w:link w:val="Style7"/>
    <w:uiPriority w:val="99"/>
    <w:unhideWhenUsed/>
    <w:qFormat/>
    <w:rsid w:val="00846ac4"/>
    <w:pPr>
      <w:spacing w:lineRule="auto" w:line="240" w:before="0" w:after="0"/>
    </w:pPr>
    <w:rPr>
      <w:rFonts w:ascii="Segoe UI" w:hAnsi="Segoe UI"/>
      <w:sz w:val="18"/>
      <w:szCs w:val="18"/>
      <w:lang w:val="x-none" w:eastAsia="x-none"/>
    </w:rPr>
  </w:style>
  <w:style w:type="paragraph" w:styleId="Annotationtext">
    <w:name w:val="annotation text"/>
    <w:basedOn w:val="Normal"/>
    <w:link w:val="Style8"/>
    <w:uiPriority w:val="99"/>
    <w:semiHidden/>
    <w:unhideWhenUsed/>
    <w:qFormat/>
    <w:rsid w:val="00b80136"/>
    <w:pPr/>
    <w:rPr>
      <w:sz w:val="20"/>
      <w:szCs w:val="20"/>
    </w:rPr>
  </w:style>
  <w:style w:type="paragraph" w:styleId="Annotationsubject">
    <w:name w:val="annotation subject"/>
    <w:basedOn w:val="Annotationtext"/>
    <w:next w:val="Annotationtext"/>
    <w:link w:val="Style9"/>
    <w:uiPriority w:val="99"/>
    <w:semiHidden/>
    <w:unhideWhenUsed/>
    <w:qFormat/>
    <w:rsid w:val="00b80136"/>
    <w:pPr/>
    <w:rPr>
      <w:b/>
      <w:bCs/>
    </w:rPr>
  </w:style>
  <w:style w:type="paragraph" w:styleId="NoSpacing">
    <w:name w:val="No Spacing"/>
    <w:link w:val="Style10"/>
    <w:qFormat/>
    <w:rsid w:val="00df0762"/>
    <w:pPr>
      <w:widowControl/>
      <w:bidi w:val="0"/>
      <w:spacing w:before="0" w:after="0"/>
      <w:jc w:val="left"/>
    </w:pPr>
    <w:rPr>
      <w:rFonts w:ascii="Calibri" w:hAnsi="Calibri" w:cs="Times New Roman" w:eastAsia="Calibri"/>
      <w:color w:val="auto"/>
      <w:kern w:val="0"/>
      <w:sz w:val="22"/>
      <w:szCs w:val="22"/>
      <w:lang w:eastAsia="en-US" w:val="uk-UA" w:bidi="ar-SA"/>
    </w:rPr>
  </w:style>
  <w:style w:type="paragraph" w:styleId="ListParagraph">
    <w:name w:val="List Paragraph"/>
    <w:basedOn w:val="Normal"/>
    <w:link w:val="Style12"/>
    <w:uiPriority w:val="99"/>
    <w:qFormat/>
    <w:rsid w:val="00b4271d"/>
    <w:pPr>
      <w:widowControl w:val="false"/>
      <w:overflowPunct w:val="true"/>
      <w:spacing w:lineRule="auto" w:line="240" w:before="0" w:after="0"/>
      <w:ind w:left="720" w:hanging="0"/>
      <w:contextualSpacing/>
    </w:pPr>
    <w:rPr>
      <w:rFonts w:ascii="Times New Roman" w:hAnsi="Times New Roman" w:eastAsia="Times New Roman"/>
      <w:sz w:val="20"/>
      <w:szCs w:val="20"/>
      <w:lang w:eastAsia="ru-RU"/>
    </w:rPr>
  </w:style>
  <w:style w:type="paragraph" w:styleId="11" w:customStyle="1">
    <w:name w:val="Абзац списку1"/>
    <w:basedOn w:val="Normal"/>
    <w:qFormat/>
    <w:rsid w:val="00f76ecb"/>
    <w:pPr>
      <w:spacing w:before="0" w:after="0"/>
      <w:ind w:left="720" w:hanging="0"/>
      <w:jc w:val="both"/>
    </w:pPr>
    <w:rPr>
      <w:rFonts w:ascii="Times New Roman" w:hAnsi="Times New Roman"/>
      <w:sz w:val="24"/>
      <w:szCs w:val="24"/>
    </w:rPr>
  </w:style>
  <w:style w:type="paragraph" w:styleId="Style17">
    <w:name w:val="Верхній і нижній колонтитули"/>
    <w:basedOn w:val="Normal"/>
    <w:qFormat/>
    <w:pPr/>
    <w:rPr/>
  </w:style>
  <w:style w:type="paragraph" w:styleId="Header">
    <w:name w:val="Header"/>
    <w:basedOn w:val="Normal"/>
    <w:link w:val="Style13"/>
    <w:uiPriority w:val="99"/>
    <w:unhideWhenUsed/>
    <w:rsid w:val="00d96cdc"/>
    <w:pPr>
      <w:tabs>
        <w:tab w:val="clear" w:pos="708"/>
        <w:tab w:val="center" w:pos="4819" w:leader="none"/>
        <w:tab w:val="right" w:pos="9639" w:leader="none"/>
      </w:tabs>
      <w:spacing w:lineRule="auto" w:line="240" w:before="0" w:after="0"/>
    </w:pPr>
    <w:rPr/>
  </w:style>
  <w:style w:type="paragraph" w:styleId="Footer">
    <w:name w:val="Footer"/>
    <w:basedOn w:val="Normal"/>
    <w:link w:val="Style14"/>
    <w:uiPriority w:val="99"/>
    <w:unhideWhenUsed/>
    <w:rsid w:val="00d96cdc"/>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4c33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ітка таблиці1"/>
    <w:basedOn w:val="a1"/>
    <w:uiPriority w:val="39"/>
    <w:rsid w:val="006b6ce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3469-6F44-4E43-B930-E142377C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Collabora_Office/22.05.20.1$Linux_X86_64 LibreOffice_project/bd9263bb6d0222e89e44fbff51d0d094dad8e281</Application>
  <AppVersion>15.0000</AppVersion>
  <Pages>3</Pages>
  <Words>920</Words>
  <Characters>5913</Characters>
  <CharactersWithSpaces>6793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2024-07-04T08:10:00Z</dcterms:created>
  <dc:creator>Людмила М. Дяченко</dc:creator>
  <dc:description/>
  <dc:language>uk-UA</dc:language>
  <cp:lastModifiedBy>Марина Луцик</cp:lastModifiedBy>
  <cp:lastPrinted>2022-11-30T12:10:00Z</cp:lastPrinted>
  <dcterms:modified xsi:type="dcterms:W3CDTF">2024-07-04T08:45:00Z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1c490888-a8a8-4d69-b10f-ee3374594b1e</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2024-03-05T11:12:23Z</vt:lpwstr>
  </property>
  <property fmtid="{D5CDD505-2E9C-101B-9397-08002B2CF9AE}" pid="8" name="MSIP_Label_defa4170-0d19-0005-0004-bc88714345d2_SiteId">
    <vt:lpwstr>269ae716-e3ac-43c3-afed-32aac9da268f</vt:lpwstr>
  </property>
</Properties>
</file>