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16F89" w14:textId="77777777" w:rsidR="00E42F45" w:rsidRDefault="00000000">
      <w:pPr>
        <w:spacing w:after="0" w:line="240" w:lineRule="auto"/>
        <w:jc w:val="center"/>
        <w:rPr>
          <w:sz w:val="28"/>
          <w:szCs w:val="28"/>
        </w:rPr>
      </w:pPr>
      <w:r>
        <w:rPr>
          <w:rFonts w:ascii="Times New Roman" w:hAnsi="Times New Roman" w:cs="Times New Roman"/>
          <w:b/>
          <w:bCs/>
          <w:sz w:val="28"/>
          <w:szCs w:val="28"/>
        </w:rPr>
        <w:t>ІНФОРМАЦІЯ</w:t>
      </w:r>
    </w:p>
    <w:p w14:paraId="65B08A59" w14:textId="77777777" w:rsidR="00E42F45" w:rsidRDefault="00000000">
      <w:pPr>
        <w:spacing w:after="0" w:line="240" w:lineRule="auto"/>
        <w:jc w:val="center"/>
        <w:rPr>
          <w:sz w:val="28"/>
          <w:szCs w:val="28"/>
        </w:rPr>
      </w:pPr>
      <w:r>
        <w:rPr>
          <w:rFonts w:ascii="Times New Roman" w:hAnsi="Times New Roman" w:cs="Times New Roman"/>
          <w:b/>
          <w:bCs/>
          <w:sz w:val="28"/>
          <w:szCs w:val="28"/>
        </w:rPr>
        <w:t>про інше майно, яке пропонуються до передачі</w:t>
      </w:r>
    </w:p>
    <w:p w14:paraId="40B85F49" w14:textId="77777777" w:rsidR="00E42F45" w:rsidRDefault="00E42F45">
      <w:pPr>
        <w:spacing w:after="0" w:line="240" w:lineRule="auto"/>
        <w:jc w:val="center"/>
        <w:rPr>
          <w:rFonts w:ascii="Times New Roman" w:hAnsi="Times New Roman" w:cs="Times New Roman"/>
          <w:b/>
          <w:bCs/>
          <w:sz w:val="24"/>
          <w:szCs w:val="24"/>
        </w:rPr>
      </w:pPr>
    </w:p>
    <w:tbl>
      <w:tblPr>
        <w:tblStyle w:val="aff5"/>
        <w:tblW w:w="16206" w:type="dxa"/>
        <w:jc w:val="center"/>
        <w:tblLayout w:type="fixed"/>
        <w:tblLook w:val="04A0" w:firstRow="1" w:lastRow="0" w:firstColumn="1" w:lastColumn="0" w:noHBand="0" w:noVBand="1"/>
      </w:tblPr>
      <w:tblGrid>
        <w:gridCol w:w="929"/>
        <w:gridCol w:w="3880"/>
        <w:gridCol w:w="2008"/>
        <w:gridCol w:w="1364"/>
        <w:gridCol w:w="6131"/>
        <w:gridCol w:w="1894"/>
      </w:tblGrid>
      <w:tr w:rsidR="00E42F45" w14:paraId="310D5B82" w14:textId="77777777" w:rsidTr="0098632E">
        <w:trPr>
          <w:trHeight w:val="593"/>
          <w:jc w:val="center"/>
        </w:trPr>
        <w:tc>
          <w:tcPr>
            <w:tcW w:w="929" w:type="dxa"/>
            <w:vAlign w:val="center"/>
          </w:tcPr>
          <w:p w14:paraId="7C2C3D05"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з/п</w:t>
            </w:r>
          </w:p>
        </w:tc>
        <w:tc>
          <w:tcPr>
            <w:tcW w:w="3880" w:type="dxa"/>
            <w:vAlign w:val="center"/>
          </w:tcPr>
          <w:p w14:paraId="482DF049"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Найменування майна </w:t>
            </w:r>
          </w:p>
          <w:p w14:paraId="256809F2"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(марка, модель та ін.)</w:t>
            </w:r>
          </w:p>
        </w:tc>
        <w:tc>
          <w:tcPr>
            <w:tcW w:w="2008" w:type="dxa"/>
            <w:vAlign w:val="center"/>
          </w:tcPr>
          <w:p w14:paraId="23525232"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Інвентарний номер</w:t>
            </w:r>
          </w:p>
        </w:tc>
        <w:tc>
          <w:tcPr>
            <w:tcW w:w="1364" w:type="dxa"/>
            <w:vAlign w:val="center"/>
          </w:tcPr>
          <w:p w14:paraId="2828145E"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Рік випуску</w:t>
            </w:r>
          </w:p>
        </w:tc>
        <w:tc>
          <w:tcPr>
            <w:tcW w:w="6131" w:type="dxa"/>
            <w:vAlign w:val="center"/>
          </w:tcPr>
          <w:p w14:paraId="24A22993"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 xml:space="preserve">Опис технічного (експлуатаційного) стану майна </w:t>
            </w:r>
          </w:p>
          <w:p w14:paraId="7C21B48E"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за інформацією балансоутримувача</w:t>
            </w:r>
          </w:p>
        </w:tc>
        <w:tc>
          <w:tcPr>
            <w:tcW w:w="1894" w:type="dxa"/>
            <w:vAlign w:val="center"/>
          </w:tcPr>
          <w:p w14:paraId="3418A8B8"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Дата оприлюднення</w:t>
            </w:r>
          </w:p>
        </w:tc>
      </w:tr>
      <w:tr w:rsidR="00E42F45" w14:paraId="60F9CA99" w14:textId="77777777" w:rsidTr="0098632E">
        <w:trPr>
          <w:trHeight w:val="472"/>
          <w:jc w:val="center"/>
        </w:trPr>
        <w:tc>
          <w:tcPr>
            <w:tcW w:w="929" w:type="dxa"/>
            <w:vAlign w:val="center"/>
          </w:tcPr>
          <w:p w14:paraId="687C5AB3"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1</w:t>
            </w:r>
          </w:p>
        </w:tc>
        <w:tc>
          <w:tcPr>
            <w:tcW w:w="3880" w:type="dxa"/>
            <w:vAlign w:val="center"/>
          </w:tcPr>
          <w:p w14:paraId="05B06204"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2</w:t>
            </w:r>
          </w:p>
        </w:tc>
        <w:tc>
          <w:tcPr>
            <w:tcW w:w="2008" w:type="dxa"/>
            <w:vAlign w:val="center"/>
          </w:tcPr>
          <w:p w14:paraId="5AACF6E3"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3</w:t>
            </w:r>
          </w:p>
        </w:tc>
        <w:tc>
          <w:tcPr>
            <w:tcW w:w="1364" w:type="dxa"/>
            <w:vAlign w:val="center"/>
          </w:tcPr>
          <w:p w14:paraId="38884E96"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4</w:t>
            </w:r>
          </w:p>
        </w:tc>
        <w:tc>
          <w:tcPr>
            <w:tcW w:w="6131" w:type="dxa"/>
          </w:tcPr>
          <w:p w14:paraId="603BAE73"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5</w:t>
            </w:r>
          </w:p>
        </w:tc>
        <w:tc>
          <w:tcPr>
            <w:tcW w:w="1894" w:type="dxa"/>
            <w:vAlign w:val="center"/>
          </w:tcPr>
          <w:p w14:paraId="6CA0696F" w14:textId="77777777" w:rsidR="00E42F45" w:rsidRDefault="00000000">
            <w:pPr>
              <w:widowControl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ru-RU"/>
              </w:rPr>
              <w:t>6</w:t>
            </w:r>
          </w:p>
        </w:tc>
      </w:tr>
      <w:tr w:rsidR="00E42F45" w14:paraId="37AA030B" w14:textId="77777777" w:rsidTr="0098632E">
        <w:trPr>
          <w:trHeight w:val="736"/>
          <w:jc w:val="center"/>
        </w:trPr>
        <w:tc>
          <w:tcPr>
            <w:tcW w:w="929" w:type="dxa"/>
            <w:vAlign w:val="center"/>
          </w:tcPr>
          <w:p w14:paraId="69DE3269"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w:t>
            </w:r>
          </w:p>
        </w:tc>
        <w:tc>
          <w:tcPr>
            <w:tcW w:w="3880" w:type="dxa"/>
            <w:vAlign w:val="center"/>
          </w:tcPr>
          <w:p w14:paraId="0C40D66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2E6D718D"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Харківській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564584DF" w14:textId="77777777" w:rsidTr="0098632E">
        <w:trPr>
          <w:trHeight w:val="5030"/>
          <w:jc w:val="center"/>
        </w:trPr>
        <w:tc>
          <w:tcPr>
            <w:tcW w:w="929" w:type="dxa"/>
            <w:vAlign w:val="center"/>
          </w:tcPr>
          <w:p w14:paraId="1043882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1.1</w:t>
            </w:r>
          </w:p>
        </w:tc>
        <w:tc>
          <w:tcPr>
            <w:tcW w:w="3880" w:type="dxa"/>
            <w:vAlign w:val="center"/>
          </w:tcPr>
          <w:p w14:paraId="09CAFAC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Автоматизована </w:t>
            </w:r>
            <w:r>
              <w:rPr>
                <w:rFonts w:ascii="Times New Roman" w:hAnsi="Times New Roman" w:cs="Times New Roman"/>
                <w:sz w:val="28"/>
                <w:szCs w:val="28"/>
                <w:lang w:val="ru-RU"/>
              </w:rPr>
              <w:br/>
              <w:t>балістична інформаційна система ТАІС</w:t>
            </w:r>
          </w:p>
        </w:tc>
        <w:tc>
          <w:tcPr>
            <w:tcW w:w="2008" w:type="dxa"/>
            <w:vAlign w:val="center"/>
          </w:tcPr>
          <w:p w14:paraId="4B02E65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101460186</w:t>
            </w:r>
          </w:p>
        </w:tc>
        <w:tc>
          <w:tcPr>
            <w:tcW w:w="1364" w:type="dxa"/>
            <w:vAlign w:val="center"/>
          </w:tcPr>
          <w:p w14:paraId="494AF60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2009</w:t>
            </w:r>
          </w:p>
        </w:tc>
        <w:tc>
          <w:tcPr>
            <w:tcW w:w="6131" w:type="dxa"/>
            <w:vAlign w:val="center"/>
          </w:tcPr>
          <w:p w14:paraId="5BCDA916" w14:textId="77777777" w:rsidR="00E42F45" w:rsidRDefault="00000000">
            <w:pPr>
              <w:widowControl w:val="0"/>
              <w:spacing w:after="0" w:line="240" w:lineRule="auto"/>
              <w:jc w:val="both"/>
              <w:rPr>
                <w:rFonts w:ascii="Times New Roman" w:hAnsi="Times New Roman" w:cs="Times New Roman"/>
                <w:sz w:val="28"/>
                <w:szCs w:val="28"/>
              </w:rPr>
            </w:pPr>
            <w:r w:rsidRPr="0098632E">
              <w:rPr>
                <w:rFonts w:ascii="Times New Roman" w:hAnsi="Times New Roman" w:cs="Times New Roman"/>
                <w:sz w:val="28"/>
                <w:szCs w:val="28"/>
              </w:rPr>
              <w:t>Внаслідок експлуатації має наступні пошкодження: несправність серверу (несправність материнської плати, несправність накопичувачів на дисках, несправність процесора, несправність монітору); несправність чотирьох автоматизованих робочих місць (несправність материнських плат, несправність накопичувачів на дисках, несправність процесорів, несправність моніторів, несправність цифрових макро-камер сканерів, несправність відеокарт вводу макрокамер сканерів); несправність робочого місця адміністратора (несправність материнської плати, несправність накопичувача на дисках, несправність процесора, несправність монітору).</w:t>
            </w:r>
          </w:p>
        </w:tc>
        <w:tc>
          <w:tcPr>
            <w:tcW w:w="1894" w:type="dxa"/>
            <w:vAlign w:val="center"/>
          </w:tcPr>
          <w:p w14:paraId="7BDC877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3995759C" w14:textId="77777777" w:rsidTr="0098632E">
        <w:trPr>
          <w:trHeight w:val="776"/>
          <w:jc w:val="center"/>
        </w:trPr>
        <w:tc>
          <w:tcPr>
            <w:tcW w:w="929" w:type="dxa"/>
            <w:vAlign w:val="center"/>
          </w:tcPr>
          <w:p w14:paraId="4407321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2</w:t>
            </w:r>
          </w:p>
        </w:tc>
        <w:tc>
          <w:tcPr>
            <w:tcW w:w="3880" w:type="dxa"/>
            <w:vAlign w:val="center"/>
          </w:tcPr>
          <w:p w14:paraId="631A2081"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7C5DE7E0"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Київський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641CC028" w14:textId="77777777" w:rsidTr="0098632E">
        <w:trPr>
          <w:trHeight w:val="1619"/>
          <w:jc w:val="center"/>
        </w:trPr>
        <w:tc>
          <w:tcPr>
            <w:tcW w:w="929" w:type="dxa"/>
            <w:vAlign w:val="center"/>
          </w:tcPr>
          <w:p w14:paraId="35CDB79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2.1</w:t>
            </w:r>
          </w:p>
        </w:tc>
        <w:tc>
          <w:tcPr>
            <w:tcW w:w="3880" w:type="dxa"/>
            <w:vAlign w:val="center"/>
          </w:tcPr>
          <w:p w14:paraId="3009E8F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Спектрофометр </w:t>
            </w:r>
            <w:r>
              <w:rPr>
                <w:rFonts w:ascii="Times New Roman" w:hAnsi="Times New Roman" w:cs="Times New Roman"/>
                <w:sz w:val="28"/>
                <w:szCs w:val="28"/>
                <w:lang w:val="ru-RU"/>
              </w:rPr>
              <w:br/>
              <w:t>LAMBDA -25</w:t>
            </w:r>
          </w:p>
        </w:tc>
        <w:tc>
          <w:tcPr>
            <w:tcW w:w="2008" w:type="dxa"/>
            <w:vAlign w:val="center"/>
          </w:tcPr>
          <w:p w14:paraId="073BFB6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101430054</w:t>
            </w:r>
          </w:p>
        </w:tc>
        <w:tc>
          <w:tcPr>
            <w:tcW w:w="1364" w:type="dxa"/>
            <w:vAlign w:val="center"/>
          </w:tcPr>
          <w:p w14:paraId="2328F29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2008</w:t>
            </w:r>
          </w:p>
        </w:tc>
        <w:tc>
          <w:tcPr>
            <w:tcW w:w="6131" w:type="dxa"/>
            <w:vAlign w:val="center"/>
          </w:tcPr>
          <w:p w14:paraId="74F05A75"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У пристрої під час діагностики виявлено несправність плати керування, вихід з ладу плати детекторів, деградація дейтерієвої лампи.</w:t>
            </w:r>
          </w:p>
        </w:tc>
        <w:tc>
          <w:tcPr>
            <w:tcW w:w="1894" w:type="dxa"/>
            <w:vAlign w:val="center"/>
          </w:tcPr>
          <w:p w14:paraId="43CB2A2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24.02.2021</w:t>
            </w:r>
          </w:p>
        </w:tc>
      </w:tr>
      <w:tr w:rsidR="00E42F45" w14:paraId="489E26FC" w14:textId="77777777" w:rsidTr="0098632E">
        <w:trPr>
          <w:trHeight w:val="711"/>
          <w:jc w:val="center"/>
        </w:trPr>
        <w:tc>
          <w:tcPr>
            <w:tcW w:w="929" w:type="dxa"/>
            <w:vAlign w:val="center"/>
          </w:tcPr>
          <w:p w14:paraId="3E049BE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3</w:t>
            </w:r>
          </w:p>
        </w:tc>
        <w:tc>
          <w:tcPr>
            <w:tcW w:w="3880" w:type="dxa"/>
            <w:vAlign w:val="center"/>
          </w:tcPr>
          <w:p w14:paraId="51DD601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34BCC353"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Вінницький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439E2576" w14:textId="77777777" w:rsidTr="0098632E">
        <w:trPr>
          <w:trHeight w:val="10065"/>
          <w:jc w:val="center"/>
        </w:trPr>
        <w:tc>
          <w:tcPr>
            <w:tcW w:w="929" w:type="dxa"/>
            <w:vAlign w:val="center"/>
          </w:tcPr>
          <w:p w14:paraId="764A779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3.1</w:t>
            </w:r>
          </w:p>
        </w:tc>
        <w:tc>
          <w:tcPr>
            <w:tcW w:w="3880" w:type="dxa"/>
            <w:vAlign w:val="center"/>
          </w:tcPr>
          <w:p w14:paraId="21DB118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Автоматизована балістична інформатизована система ТАІС</w:t>
            </w:r>
          </w:p>
        </w:tc>
        <w:tc>
          <w:tcPr>
            <w:tcW w:w="2008" w:type="dxa"/>
            <w:vAlign w:val="center"/>
          </w:tcPr>
          <w:p w14:paraId="6C3D60D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101450033</w:t>
            </w:r>
          </w:p>
        </w:tc>
        <w:tc>
          <w:tcPr>
            <w:tcW w:w="1364" w:type="dxa"/>
            <w:vAlign w:val="center"/>
          </w:tcPr>
          <w:p w14:paraId="09B99D7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2009</w:t>
            </w:r>
          </w:p>
        </w:tc>
        <w:tc>
          <w:tcPr>
            <w:tcW w:w="6131" w:type="dxa"/>
          </w:tcPr>
          <w:p w14:paraId="30DA5A8F" w14:textId="77777777" w:rsidR="00E42F45" w:rsidRDefault="00000000">
            <w:pPr>
              <w:widowControl w:val="0"/>
              <w:spacing w:after="0" w:line="240" w:lineRule="auto"/>
              <w:jc w:val="both"/>
              <w:rPr>
                <w:rFonts w:ascii="Times New Roman" w:hAnsi="Times New Roman" w:cs="Times New Roman"/>
                <w:sz w:val="28"/>
                <w:szCs w:val="28"/>
              </w:rPr>
            </w:pPr>
            <w:r w:rsidRPr="0098632E">
              <w:rPr>
                <w:rFonts w:ascii="Times New Roman" w:hAnsi="Times New Roman" w:cs="Times New Roman"/>
                <w:sz w:val="28"/>
                <w:szCs w:val="28"/>
              </w:rPr>
              <w:t xml:space="preserve">У пристрої під час діагностики виявлено наступні неполадки: сервер </w:t>
            </w:r>
            <w:r>
              <w:rPr>
                <w:rFonts w:ascii="Times New Roman" w:hAnsi="Times New Roman" w:cs="Times New Roman"/>
                <w:sz w:val="28"/>
                <w:szCs w:val="28"/>
                <w:lang w:val="ru-RU"/>
              </w:rPr>
              <w:t>HP</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Proliant</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DL</w:t>
            </w:r>
            <w:r w:rsidRPr="0098632E">
              <w:rPr>
                <w:rFonts w:ascii="Times New Roman" w:hAnsi="Times New Roman" w:cs="Times New Roman"/>
                <w:sz w:val="28"/>
                <w:szCs w:val="28"/>
              </w:rPr>
              <w:t xml:space="preserve"> 180 </w:t>
            </w:r>
            <w:r>
              <w:rPr>
                <w:rFonts w:ascii="Times New Roman" w:hAnsi="Times New Roman" w:cs="Times New Roman"/>
                <w:sz w:val="28"/>
                <w:szCs w:val="28"/>
                <w:lang w:val="ru-RU"/>
              </w:rPr>
              <w:t>G</w:t>
            </w:r>
            <w:r w:rsidRPr="0098632E">
              <w:rPr>
                <w:rFonts w:ascii="Times New Roman" w:hAnsi="Times New Roman" w:cs="Times New Roman"/>
                <w:sz w:val="28"/>
                <w:szCs w:val="28"/>
              </w:rPr>
              <w:t>6 2</w:t>
            </w:r>
            <w:r>
              <w:rPr>
                <w:rFonts w:ascii="Times New Roman" w:hAnsi="Times New Roman" w:cs="Times New Roman"/>
                <w:sz w:val="28"/>
                <w:szCs w:val="28"/>
                <w:lang w:val="ru-RU"/>
              </w:rPr>
              <w:t>x</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Intel</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Xeon</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X</w:t>
            </w:r>
            <w:r w:rsidRPr="0098632E">
              <w:rPr>
                <w:rFonts w:ascii="Times New Roman" w:hAnsi="Times New Roman" w:cs="Times New Roman"/>
                <w:sz w:val="28"/>
                <w:szCs w:val="28"/>
              </w:rPr>
              <w:t xml:space="preserve">5650 12 </w:t>
            </w:r>
            <w:r>
              <w:rPr>
                <w:rFonts w:ascii="Times New Roman" w:hAnsi="Times New Roman" w:cs="Times New Roman"/>
                <w:sz w:val="28"/>
                <w:szCs w:val="28"/>
                <w:lang w:val="ru-RU"/>
              </w:rPr>
              <w:t>Gb</w:t>
            </w:r>
            <w:r w:rsidRPr="0098632E">
              <w:rPr>
                <w:rFonts w:ascii="Times New Roman" w:hAnsi="Times New Roman" w:cs="Times New Roman"/>
                <w:sz w:val="28"/>
                <w:szCs w:val="28"/>
              </w:rPr>
              <w:t xml:space="preserve"> - несправність системи плати – електричний пробій мікросхеми південного моста, вигоряння провідникової доріжки, що біля </w:t>
            </w:r>
            <w:r>
              <w:rPr>
                <w:rFonts w:ascii="Times New Roman" w:hAnsi="Times New Roman" w:cs="Times New Roman"/>
                <w:sz w:val="28"/>
                <w:szCs w:val="28"/>
                <w:lang w:val="ru-RU"/>
              </w:rPr>
              <w:t>USB</w:t>
            </w:r>
            <w:r w:rsidRPr="0098632E">
              <w:rPr>
                <w:rFonts w:ascii="Times New Roman" w:hAnsi="Times New Roman" w:cs="Times New Roman"/>
                <w:sz w:val="28"/>
                <w:szCs w:val="28"/>
              </w:rPr>
              <w:t xml:space="preserve"> порта, несправність блоку живлення – електричний пробій діодів - шоткі з загальним катодом у колі випрямляча вихідної напруги, заклинений кулер; системний блок </w:t>
            </w:r>
            <w:r>
              <w:rPr>
                <w:rFonts w:ascii="Times New Roman" w:hAnsi="Times New Roman" w:cs="Times New Roman"/>
                <w:sz w:val="28"/>
                <w:szCs w:val="28"/>
                <w:lang w:val="ru-RU"/>
              </w:rPr>
              <w:t>HP</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xw</w:t>
            </w:r>
            <w:r w:rsidRPr="0098632E">
              <w:rPr>
                <w:rFonts w:ascii="Times New Roman" w:hAnsi="Times New Roman" w:cs="Times New Roman"/>
                <w:sz w:val="28"/>
                <w:szCs w:val="28"/>
              </w:rPr>
              <w:t xml:space="preserve">4600 </w:t>
            </w:r>
            <w:r>
              <w:rPr>
                <w:rFonts w:ascii="Times New Roman" w:hAnsi="Times New Roman" w:cs="Times New Roman"/>
                <w:sz w:val="28"/>
                <w:szCs w:val="28"/>
                <w:lang w:val="ru-RU"/>
              </w:rPr>
              <w:t>Workstation</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Intel</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Core</w:t>
            </w:r>
            <w:r w:rsidRPr="0098632E">
              <w:rPr>
                <w:rFonts w:ascii="Times New Roman" w:hAnsi="Times New Roman" w:cs="Times New Roman"/>
                <w:sz w:val="28"/>
                <w:szCs w:val="28"/>
              </w:rPr>
              <w:t xml:space="preserve"> 2 </w:t>
            </w:r>
            <w:r>
              <w:rPr>
                <w:rFonts w:ascii="Times New Roman" w:hAnsi="Times New Roman" w:cs="Times New Roman"/>
                <w:sz w:val="28"/>
                <w:szCs w:val="28"/>
                <w:lang w:val="ru-RU"/>
              </w:rPr>
              <w:t>DuoCPU</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E</w:t>
            </w:r>
            <w:r w:rsidRPr="0098632E">
              <w:rPr>
                <w:rFonts w:ascii="Times New Roman" w:hAnsi="Times New Roman" w:cs="Times New Roman"/>
                <w:sz w:val="28"/>
                <w:szCs w:val="28"/>
              </w:rPr>
              <w:t>6500,. 1</w:t>
            </w:r>
            <w:r>
              <w:rPr>
                <w:rFonts w:ascii="Times New Roman" w:hAnsi="Times New Roman" w:cs="Times New Roman"/>
                <w:sz w:val="28"/>
                <w:szCs w:val="28"/>
                <w:lang w:val="ru-RU"/>
              </w:rPr>
              <w:t>Gb</w:t>
            </w:r>
            <w:r w:rsidRPr="0098632E">
              <w:rPr>
                <w:rFonts w:ascii="Times New Roman" w:hAnsi="Times New Roman" w:cs="Times New Roman"/>
                <w:sz w:val="28"/>
                <w:szCs w:val="28"/>
              </w:rPr>
              <w:t xml:space="preserve"> – несправність блоку живлення-електричний пробій в схемі чергового живлення, висохли високовольтні електричні конденсатори у схемі випрямляча мережевої напруги, деформація корпусу; згорів блок живлення, втрата ємкості конденсаторів, вихід з ладу 3х фазної схеми стабілізації живлення процесору, системний блок </w:t>
            </w:r>
            <w:r>
              <w:rPr>
                <w:rFonts w:ascii="Times New Roman" w:hAnsi="Times New Roman" w:cs="Times New Roman"/>
                <w:sz w:val="28"/>
                <w:szCs w:val="28"/>
                <w:lang w:val="ru-RU"/>
              </w:rPr>
              <w:t>Intel</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Pentium</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Dual</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Core</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E</w:t>
            </w:r>
            <w:r w:rsidRPr="0098632E">
              <w:rPr>
                <w:rFonts w:ascii="Times New Roman" w:hAnsi="Times New Roman" w:cs="Times New Roman"/>
                <w:sz w:val="28"/>
                <w:szCs w:val="28"/>
              </w:rPr>
              <w:t xml:space="preserve">5400 2.70 </w:t>
            </w:r>
            <w:r>
              <w:rPr>
                <w:rFonts w:ascii="Times New Roman" w:hAnsi="Times New Roman" w:cs="Times New Roman"/>
                <w:sz w:val="28"/>
                <w:szCs w:val="28"/>
                <w:lang w:val="ru-RU"/>
              </w:rPr>
              <w:t>Ghz</w:t>
            </w:r>
            <w:r w:rsidRPr="0098632E">
              <w:rPr>
                <w:rFonts w:ascii="Times New Roman" w:hAnsi="Times New Roman" w:cs="Times New Roman"/>
                <w:sz w:val="28"/>
                <w:szCs w:val="28"/>
              </w:rPr>
              <w:t>, 2</w:t>
            </w:r>
            <w:r>
              <w:rPr>
                <w:rFonts w:ascii="Times New Roman" w:hAnsi="Times New Roman" w:cs="Times New Roman"/>
                <w:sz w:val="28"/>
                <w:szCs w:val="28"/>
                <w:lang w:val="ru-RU"/>
              </w:rPr>
              <w:t>Gb</w:t>
            </w:r>
            <w:r w:rsidRPr="0098632E">
              <w:rPr>
                <w:rFonts w:ascii="Times New Roman" w:hAnsi="Times New Roman" w:cs="Times New Roman"/>
                <w:sz w:val="28"/>
                <w:szCs w:val="28"/>
              </w:rPr>
              <w:t xml:space="preserve"> – несправність системної плати, електричний пробій мікросхеми південного моста, вигоряння провідникової доріжки, що біля </w:t>
            </w:r>
            <w:r>
              <w:rPr>
                <w:rFonts w:ascii="Times New Roman" w:hAnsi="Times New Roman" w:cs="Times New Roman"/>
                <w:sz w:val="28"/>
                <w:szCs w:val="28"/>
                <w:lang w:val="ru-RU"/>
              </w:rPr>
              <w:t>USB</w:t>
            </w:r>
            <w:r w:rsidRPr="0098632E">
              <w:rPr>
                <w:rFonts w:ascii="Times New Roman" w:hAnsi="Times New Roman" w:cs="Times New Roman"/>
                <w:sz w:val="28"/>
                <w:szCs w:val="28"/>
              </w:rPr>
              <w:t xml:space="preserve"> порта, несправність блоку живлення – електричний пробій діодів; шоткі з загальним катодом у колі випрямляча вихідної напруги, заклинений кулер. Значна кількість пошкоджених секторів накопичувача жорсткого диску із-за подряпин на магнітній поверхні, привід </w:t>
            </w:r>
            <w:r>
              <w:rPr>
                <w:rFonts w:ascii="Times New Roman" w:hAnsi="Times New Roman" w:cs="Times New Roman"/>
                <w:sz w:val="28"/>
                <w:szCs w:val="28"/>
                <w:lang w:val="ru-RU"/>
              </w:rPr>
              <w:t>DVD</w:t>
            </w:r>
            <w:r w:rsidRPr="0098632E">
              <w:rPr>
                <w:rFonts w:ascii="Times New Roman" w:hAnsi="Times New Roman" w:cs="Times New Roman"/>
                <w:sz w:val="28"/>
                <w:szCs w:val="28"/>
              </w:rPr>
              <w:t xml:space="preserve"> не зчитує дані з оптичних дисків - підсівший лазерний діод оптичного модуля приводу внаслідок тривалої експлуатації.</w:t>
            </w:r>
          </w:p>
        </w:tc>
        <w:tc>
          <w:tcPr>
            <w:tcW w:w="1894" w:type="dxa"/>
            <w:vAlign w:val="center"/>
          </w:tcPr>
          <w:p w14:paraId="43D0FD9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3DBDDEC4" w14:textId="77777777" w:rsidTr="0098632E">
        <w:trPr>
          <w:trHeight w:val="848"/>
          <w:jc w:val="center"/>
        </w:trPr>
        <w:tc>
          <w:tcPr>
            <w:tcW w:w="929" w:type="dxa"/>
            <w:vAlign w:val="center"/>
          </w:tcPr>
          <w:p w14:paraId="270F750E"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4</w:t>
            </w:r>
          </w:p>
        </w:tc>
        <w:tc>
          <w:tcPr>
            <w:tcW w:w="3880" w:type="dxa"/>
            <w:vAlign w:val="center"/>
          </w:tcPr>
          <w:p w14:paraId="170A6BD6"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05D7AABE"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Тернопільський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3442640E" w14:textId="77777777" w:rsidTr="0098632E">
        <w:trPr>
          <w:trHeight w:val="2008"/>
          <w:jc w:val="center"/>
        </w:trPr>
        <w:tc>
          <w:tcPr>
            <w:tcW w:w="929" w:type="dxa"/>
            <w:vAlign w:val="center"/>
          </w:tcPr>
          <w:p w14:paraId="3817D15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4.1</w:t>
            </w:r>
          </w:p>
        </w:tc>
        <w:tc>
          <w:tcPr>
            <w:tcW w:w="3880" w:type="dxa"/>
            <w:vAlign w:val="center"/>
          </w:tcPr>
          <w:p w14:paraId="04C67257" w14:textId="77777777" w:rsidR="00E42F45" w:rsidRDefault="00000000">
            <w:pPr>
              <w:widowControl w:val="0"/>
              <w:spacing w:after="0" w:line="240" w:lineRule="auto"/>
              <w:jc w:val="center"/>
              <w:rPr>
                <w:rFonts w:ascii="Times New Roman" w:hAnsi="Times New Roman" w:cs="Times New Roman"/>
                <w:sz w:val="28"/>
                <w:szCs w:val="28"/>
              </w:rPr>
            </w:pPr>
            <w:r w:rsidRPr="0098632E">
              <w:rPr>
                <w:rFonts w:ascii="Times New Roman" w:hAnsi="Times New Roman" w:cs="Times New Roman"/>
                <w:sz w:val="28"/>
                <w:szCs w:val="28"/>
              </w:rPr>
              <w:t>Автоматичний інжектор</w:t>
            </w:r>
            <w:r w:rsidRPr="0098632E">
              <w:rPr>
                <w:rFonts w:ascii="Times New Roman" w:hAnsi="Times New Roman" w:cs="Times New Roman"/>
                <w:sz w:val="28"/>
                <w:szCs w:val="28"/>
              </w:rPr>
              <w:br/>
            </w:r>
            <w:r>
              <w:rPr>
                <w:rFonts w:ascii="Times New Roman" w:hAnsi="Times New Roman" w:cs="Times New Roman"/>
                <w:sz w:val="28"/>
                <w:szCs w:val="28"/>
                <w:lang w:val="ru-RU"/>
              </w:rPr>
              <w:t>Agilent</w:t>
            </w:r>
            <w:r w:rsidRPr="0098632E">
              <w:rPr>
                <w:rFonts w:ascii="Times New Roman" w:hAnsi="Times New Roman" w:cs="Times New Roman"/>
                <w:sz w:val="28"/>
                <w:szCs w:val="28"/>
              </w:rPr>
              <w:t>/</w:t>
            </w:r>
            <w:r>
              <w:rPr>
                <w:rFonts w:ascii="Times New Roman" w:hAnsi="Times New Roman" w:cs="Times New Roman"/>
                <w:sz w:val="28"/>
                <w:szCs w:val="28"/>
                <w:lang w:val="ru-RU"/>
              </w:rPr>
              <w:t>HP</w:t>
            </w:r>
            <w:r w:rsidRPr="0098632E">
              <w:rPr>
                <w:rFonts w:ascii="Times New Roman" w:hAnsi="Times New Roman" w:cs="Times New Roman"/>
                <w:sz w:val="28"/>
                <w:szCs w:val="28"/>
              </w:rPr>
              <w:t xml:space="preserve"> для газового</w:t>
            </w:r>
            <w:r w:rsidRPr="0098632E">
              <w:rPr>
                <w:rFonts w:ascii="Times New Roman" w:hAnsi="Times New Roman" w:cs="Times New Roman"/>
                <w:sz w:val="28"/>
                <w:szCs w:val="28"/>
              </w:rPr>
              <w:br/>
              <w:t xml:space="preserve">хроматографа 6890 </w:t>
            </w:r>
            <w:r>
              <w:rPr>
                <w:rFonts w:ascii="Times New Roman" w:hAnsi="Times New Roman" w:cs="Times New Roman"/>
                <w:sz w:val="28"/>
                <w:szCs w:val="28"/>
                <w:lang w:val="ru-RU"/>
              </w:rPr>
              <w:t>Autosampler</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Nower</w:t>
            </w:r>
            <w:r w:rsidRPr="0098632E">
              <w:rPr>
                <w:rFonts w:ascii="Times New Roman" w:hAnsi="Times New Roman" w:cs="Times New Roman"/>
                <w:sz w:val="28"/>
                <w:szCs w:val="28"/>
              </w:rPr>
              <w:t xml:space="preserve"> 7683 </w:t>
            </w:r>
            <w:r>
              <w:rPr>
                <w:rFonts w:ascii="Times New Roman" w:hAnsi="Times New Roman" w:cs="Times New Roman"/>
                <w:sz w:val="28"/>
                <w:szCs w:val="28"/>
                <w:lang w:val="ru-RU"/>
              </w:rPr>
              <w:t>G</w:t>
            </w:r>
            <w:r w:rsidRPr="0098632E">
              <w:rPr>
                <w:rFonts w:ascii="Times New Roman" w:hAnsi="Times New Roman" w:cs="Times New Roman"/>
                <w:sz w:val="28"/>
                <w:szCs w:val="28"/>
              </w:rPr>
              <w:t>1513</w:t>
            </w:r>
            <w:r>
              <w:rPr>
                <w:rFonts w:ascii="Times New Roman" w:hAnsi="Times New Roman" w:cs="Times New Roman"/>
                <w:sz w:val="28"/>
                <w:szCs w:val="28"/>
                <w:lang w:val="ru-RU"/>
              </w:rPr>
              <w:t>A</w:t>
            </w:r>
            <w:r w:rsidRPr="0098632E">
              <w:rPr>
                <w:rFonts w:ascii="Times New Roman" w:hAnsi="Times New Roman" w:cs="Times New Roman"/>
                <w:sz w:val="28"/>
                <w:szCs w:val="28"/>
              </w:rPr>
              <w:t>/</w:t>
            </w:r>
            <w:r>
              <w:rPr>
                <w:rFonts w:ascii="Times New Roman" w:hAnsi="Times New Roman" w:cs="Times New Roman"/>
                <w:sz w:val="28"/>
                <w:szCs w:val="28"/>
                <w:lang w:val="ru-RU"/>
              </w:rPr>
              <w:t>G</w:t>
            </w:r>
            <w:r w:rsidRPr="0098632E">
              <w:rPr>
                <w:rFonts w:ascii="Times New Roman" w:hAnsi="Times New Roman" w:cs="Times New Roman"/>
                <w:sz w:val="28"/>
                <w:szCs w:val="28"/>
              </w:rPr>
              <w:t>2613</w:t>
            </w:r>
          </w:p>
        </w:tc>
        <w:tc>
          <w:tcPr>
            <w:tcW w:w="2008" w:type="dxa"/>
            <w:vAlign w:val="center"/>
          </w:tcPr>
          <w:p w14:paraId="4C1D198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101480094</w:t>
            </w:r>
          </w:p>
        </w:tc>
        <w:tc>
          <w:tcPr>
            <w:tcW w:w="1364" w:type="dxa"/>
            <w:vAlign w:val="center"/>
          </w:tcPr>
          <w:p w14:paraId="1368D9B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2004</w:t>
            </w:r>
          </w:p>
        </w:tc>
        <w:tc>
          <w:tcPr>
            <w:tcW w:w="6131" w:type="dxa"/>
            <w:vAlign w:val="center"/>
          </w:tcPr>
          <w:p w14:paraId="3874DF27"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Пристрій технічно несправний. На даний час не використовується, оскільки за своїми технічними параметрами є комплектуючою частиною лише для моделі газового хроматографа Agilent 6890 (модель G 1530A).</w:t>
            </w:r>
          </w:p>
        </w:tc>
        <w:tc>
          <w:tcPr>
            <w:tcW w:w="1894" w:type="dxa"/>
            <w:vAlign w:val="center"/>
          </w:tcPr>
          <w:p w14:paraId="76A1B24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31.08.2021</w:t>
            </w:r>
          </w:p>
        </w:tc>
      </w:tr>
      <w:tr w:rsidR="00E42F45" w14:paraId="5396F75F" w14:textId="77777777" w:rsidTr="0098632E">
        <w:trPr>
          <w:trHeight w:val="756"/>
          <w:jc w:val="center"/>
        </w:trPr>
        <w:tc>
          <w:tcPr>
            <w:tcW w:w="929" w:type="dxa"/>
            <w:vAlign w:val="center"/>
          </w:tcPr>
          <w:p w14:paraId="72054187"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5</w:t>
            </w:r>
          </w:p>
        </w:tc>
        <w:tc>
          <w:tcPr>
            <w:tcW w:w="3880" w:type="dxa"/>
            <w:vAlign w:val="center"/>
          </w:tcPr>
          <w:p w14:paraId="4EAFCD15"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495B6DFA"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Черкаський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55211C32" w14:textId="77777777" w:rsidTr="0098632E">
        <w:trPr>
          <w:trHeight w:val="1546"/>
          <w:jc w:val="center"/>
        </w:trPr>
        <w:tc>
          <w:tcPr>
            <w:tcW w:w="929" w:type="dxa"/>
            <w:vAlign w:val="center"/>
          </w:tcPr>
          <w:p w14:paraId="619CD26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5.1</w:t>
            </w:r>
          </w:p>
        </w:tc>
        <w:tc>
          <w:tcPr>
            <w:tcW w:w="3880" w:type="dxa"/>
            <w:vAlign w:val="center"/>
          </w:tcPr>
          <w:p w14:paraId="5840798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Рідинний хроматограф </w:t>
            </w:r>
            <w:r>
              <w:rPr>
                <w:rFonts w:ascii="Times New Roman" w:hAnsi="Times New Roman" w:cs="Times New Roman"/>
                <w:sz w:val="28"/>
                <w:szCs w:val="28"/>
                <w:lang w:val="ru-RU"/>
              </w:rPr>
              <w:br/>
              <w:t>(персональний комп’ютером з монітором СБ № 5508521)</w:t>
            </w:r>
          </w:p>
        </w:tc>
        <w:tc>
          <w:tcPr>
            <w:tcW w:w="2008" w:type="dxa"/>
            <w:vAlign w:val="center"/>
          </w:tcPr>
          <w:p w14:paraId="3C84290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101450019</w:t>
            </w:r>
          </w:p>
        </w:tc>
        <w:tc>
          <w:tcPr>
            <w:tcW w:w="1364" w:type="dxa"/>
            <w:vAlign w:val="center"/>
          </w:tcPr>
          <w:p w14:paraId="3526053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2000</w:t>
            </w:r>
          </w:p>
        </w:tc>
        <w:tc>
          <w:tcPr>
            <w:tcW w:w="6131" w:type="dxa"/>
            <w:vAlign w:val="center"/>
          </w:tcPr>
          <w:p w14:paraId="0EA23658"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Технічно несправний. У пристрої вийшли з ладу насос, термостат, інжектор,детектор, манометр та колонка.</w:t>
            </w:r>
          </w:p>
        </w:tc>
        <w:tc>
          <w:tcPr>
            <w:tcW w:w="1894" w:type="dxa"/>
            <w:vAlign w:val="center"/>
          </w:tcPr>
          <w:p w14:paraId="000B860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30.11.2021</w:t>
            </w:r>
          </w:p>
        </w:tc>
      </w:tr>
      <w:tr w:rsidR="00E42F45" w14:paraId="6EFE9CCE" w14:textId="77777777" w:rsidTr="0098632E">
        <w:trPr>
          <w:trHeight w:val="1067"/>
          <w:jc w:val="center"/>
        </w:trPr>
        <w:tc>
          <w:tcPr>
            <w:tcW w:w="929" w:type="dxa"/>
            <w:vAlign w:val="center"/>
          </w:tcPr>
          <w:p w14:paraId="724394B6"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6</w:t>
            </w:r>
          </w:p>
        </w:tc>
        <w:tc>
          <w:tcPr>
            <w:tcW w:w="3880" w:type="dxa"/>
            <w:vAlign w:val="center"/>
          </w:tcPr>
          <w:p w14:paraId="25ACFCD6"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786C54D0"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Рівненський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69BC928F" w14:textId="77777777" w:rsidTr="0098632E">
        <w:trPr>
          <w:trHeight w:val="358"/>
          <w:jc w:val="center"/>
        </w:trPr>
        <w:tc>
          <w:tcPr>
            <w:tcW w:w="929" w:type="dxa"/>
            <w:vAlign w:val="center"/>
          </w:tcPr>
          <w:p w14:paraId="38D284B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6.1</w:t>
            </w:r>
          </w:p>
        </w:tc>
        <w:tc>
          <w:tcPr>
            <w:tcW w:w="3880" w:type="dxa"/>
            <w:vAlign w:val="center"/>
          </w:tcPr>
          <w:p w14:paraId="7F3B5B3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ИК-Фур'є спектрометр </w:t>
            </w:r>
            <w:r>
              <w:rPr>
                <w:rFonts w:ascii="Times New Roman" w:hAnsi="Times New Roman" w:cs="Times New Roman"/>
                <w:sz w:val="28"/>
                <w:szCs w:val="28"/>
                <w:lang w:val="ru-RU"/>
              </w:rPr>
              <w:br/>
              <w:t>FT/IR-4200 Jasco</w:t>
            </w:r>
          </w:p>
        </w:tc>
        <w:tc>
          <w:tcPr>
            <w:tcW w:w="2008" w:type="dxa"/>
            <w:vAlign w:val="center"/>
          </w:tcPr>
          <w:p w14:paraId="23283AC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10145-0042</w:t>
            </w:r>
          </w:p>
        </w:tc>
        <w:tc>
          <w:tcPr>
            <w:tcW w:w="1364" w:type="dxa"/>
            <w:vAlign w:val="center"/>
          </w:tcPr>
          <w:p w14:paraId="5963DBC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2007</w:t>
            </w:r>
          </w:p>
        </w:tc>
        <w:tc>
          <w:tcPr>
            <w:tcW w:w="6131" w:type="dxa"/>
            <w:vAlign w:val="center"/>
          </w:tcPr>
          <w:p w14:paraId="66F43CCF"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Пристрій технічно не справний, внаслідок тривалої експлуатації та природного старіння подальше його використання є неможливим. Під час ретельного обстеження встановлено відсутність подачі сигналу інтерферометра на детектор. Ремонт приладу не доцільний.</w:t>
            </w:r>
          </w:p>
        </w:tc>
        <w:tc>
          <w:tcPr>
            <w:tcW w:w="1894" w:type="dxa"/>
            <w:vAlign w:val="center"/>
          </w:tcPr>
          <w:p w14:paraId="42CDBC4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02.08.2022</w:t>
            </w:r>
          </w:p>
        </w:tc>
      </w:tr>
      <w:tr w:rsidR="00E42F45" w14:paraId="160AD8C0" w14:textId="77777777" w:rsidTr="0098632E">
        <w:trPr>
          <w:trHeight w:val="894"/>
          <w:jc w:val="center"/>
        </w:trPr>
        <w:tc>
          <w:tcPr>
            <w:tcW w:w="929" w:type="dxa"/>
            <w:vAlign w:val="center"/>
          </w:tcPr>
          <w:p w14:paraId="024F5C95"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7</w:t>
            </w:r>
          </w:p>
        </w:tc>
        <w:tc>
          <w:tcPr>
            <w:tcW w:w="3880" w:type="dxa"/>
            <w:vAlign w:val="center"/>
          </w:tcPr>
          <w:p w14:paraId="399F716F"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34CF76BC"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Івано-Франківський науково-дослідний експертно-</w:t>
            </w:r>
            <w:r>
              <w:rPr>
                <w:rFonts w:ascii="Times New Roman" w:hAnsi="Times New Roman" w:cs="Times New Roman"/>
                <w:b/>
                <w:bCs/>
                <w:i w:val="0"/>
                <w:iCs w:val="0"/>
                <w:sz w:val="28"/>
                <w:szCs w:val="28"/>
                <w:lang w:val="ru-RU"/>
              </w:rPr>
              <w:br/>
              <w:t>криміналістичний центр МВС України</w:t>
            </w:r>
          </w:p>
        </w:tc>
      </w:tr>
      <w:tr w:rsidR="00E42F45" w14:paraId="0EB64EBB" w14:textId="77777777" w:rsidTr="0098632E">
        <w:trPr>
          <w:trHeight w:val="2400"/>
          <w:jc w:val="center"/>
        </w:trPr>
        <w:tc>
          <w:tcPr>
            <w:tcW w:w="929" w:type="dxa"/>
            <w:tcBorders>
              <w:right w:val="nil"/>
            </w:tcBorders>
            <w:vAlign w:val="center"/>
          </w:tcPr>
          <w:p w14:paraId="3929F80C" w14:textId="77777777" w:rsidR="00E42F45" w:rsidRDefault="00000000">
            <w:pPr>
              <w:pStyle w:val="af9"/>
              <w:widowControl w:val="0"/>
              <w:jc w:val="center"/>
              <w:rPr>
                <w:rFonts w:ascii="Times New Roman" w:hAnsi="Times New Roman"/>
                <w:sz w:val="28"/>
                <w:szCs w:val="28"/>
              </w:rPr>
            </w:pPr>
            <w:r>
              <w:rPr>
                <w:rFonts w:ascii="Times New Roman" w:hAnsi="Times New Roman"/>
                <w:sz w:val="28"/>
                <w:szCs w:val="28"/>
                <w:lang w:val="ru-RU"/>
              </w:rPr>
              <w:t>7.1</w:t>
            </w:r>
          </w:p>
        </w:tc>
        <w:tc>
          <w:tcPr>
            <w:tcW w:w="3880" w:type="dxa"/>
            <w:tcBorders>
              <w:right w:val="nil"/>
            </w:tcBorders>
            <w:vAlign w:val="center"/>
          </w:tcPr>
          <w:p w14:paraId="1A1DA3FA" w14:textId="77777777" w:rsidR="00E42F45" w:rsidRDefault="00000000">
            <w:pPr>
              <w:pStyle w:val="af9"/>
              <w:widowControl w:val="0"/>
              <w:jc w:val="center"/>
              <w:rPr>
                <w:rFonts w:ascii="Times New Roman" w:hAnsi="Times New Roman"/>
                <w:sz w:val="28"/>
                <w:szCs w:val="28"/>
              </w:rPr>
            </w:pPr>
            <w:r>
              <w:rPr>
                <w:rFonts w:ascii="Times New Roman" w:hAnsi="Times New Roman"/>
                <w:sz w:val="28"/>
                <w:szCs w:val="28"/>
                <w:lang w:val="ru-RU"/>
              </w:rPr>
              <w:t>Газовий хроматограф</w:t>
            </w:r>
            <w:r>
              <w:rPr>
                <w:rFonts w:ascii="Times New Roman" w:hAnsi="Times New Roman"/>
                <w:sz w:val="28"/>
                <w:szCs w:val="28"/>
                <w:lang w:val="ru-RU"/>
              </w:rPr>
              <w:br/>
              <w:t>Кристал 2000М зав. № 5265</w:t>
            </w:r>
          </w:p>
        </w:tc>
        <w:tc>
          <w:tcPr>
            <w:tcW w:w="2008" w:type="dxa"/>
            <w:tcBorders>
              <w:right w:val="nil"/>
            </w:tcBorders>
            <w:vAlign w:val="center"/>
          </w:tcPr>
          <w:p w14:paraId="7E286976" w14:textId="77777777" w:rsidR="00E42F45" w:rsidRDefault="00000000">
            <w:pPr>
              <w:pStyle w:val="af9"/>
              <w:widowControl w:val="0"/>
              <w:jc w:val="center"/>
              <w:rPr>
                <w:rFonts w:ascii="Times New Roman" w:hAnsi="Times New Roman"/>
                <w:sz w:val="28"/>
                <w:szCs w:val="28"/>
              </w:rPr>
            </w:pPr>
            <w:r>
              <w:rPr>
                <w:rFonts w:ascii="Times New Roman" w:hAnsi="Times New Roman"/>
                <w:sz w:val="28"/>
                <w:szCs w:val="28"/>
                <w:lang w:val="ru-RU"/>
              </w:rPr>
              <w:t>101450017</w:t>
            </w:r>
          </w:p>
        </w:tc>
        <w:tc>
          <w:tcPr>
            <w:tcW w:w="1364" w:type="dxa"/>
            <w:tcBorders>
              <w:right w:val="nil"/>
            </w:tcBorders>
            <w:vAlign w:val="center"/>
          </w:tcPr>
          <w:p w14:paraId="6F62C42F" w14:textId="77777777" w:rsidR="00E42F45" w:rsidRDefault="00000000">
            <w:pPr>
              <w:pStyle w:val="af9"/>
              <w:widowControl w:val="0"/>
              <w:jc w:val="center"/>
              <w:rPr>
                <w:rFonts w:ascii="Times New Roman" w:hAnsi="Times New Roman"/>
                <w:sz w:val="28"/>
                <w:szCs w:val="28"/>
              </w:rPr>
            </w:pPr>
            <w:r>
              <w:rPr>
                <w:rFonts w:ascii="Times New Roman" w:hAnsi="Times New Roman"/>
                <w:sz w:val="28"/>
                <w:szCs w:val="28"/>
                <w:lang w:val="ru-RU"/>
              </w:rPr>
              <w:t>2004</w:t>
            </w:r>
          </w:p>
        </w:tc>
        <w:tc>
          <w:tcPr>
            <w:tcW w:w="6131" w:type="dxa"/>
            <w:tcBorders>
              <w:right w:val="nil"/>
            </w:tcBorders>
            <w:vAlign w:val="center"/>
          </w:tcPr>
          <w:p w14:paraId="3B0D23B4" w14:textId="77777777" w:rsidR="00E42F45" w:rsidRDefault="00000000">
            <w:pPr>
              <w:pStyle w:val="af9"/>
              <w:widowControl w:val="0"/>
              <w:jc w:val="both"/>
              <w:rPr>
                <w:rFonts w:ascii="Times New Roman" w:hAnsi="Times New Roman"/>
                <w:sz w:val="28"/>
                <w:szCs w:val="28"/>
              </w:rPr>
            </w:pPr>
            <w:r>
              <w:rPr>
                <w:rFonts w:ascii="Times New Roman" w:hAnsi="Times New Roman"/>
                <w:sz w:val="28"/>
                <w:szCs w:val="28"/>
                <w:lang w:val="ru-RU"/>
              </w:rPr>
              <w:t xml:space="preserve">Несправні та потребують заміни регулятори розходу газу (5 шт.). Нестабільність роботи приладу, неможливість повного відновлення працездатності через інтенсивну експлуатацію та вік приладу. Неможливість проведення ремонту через відсутність витратних матеріалів, так як прилад виробництва ЗАО «СКБ Хроматєк» м. Йошкар-Ола, республіки Марій Ел, росія. Прилад </w:t>
            </w:r>
            <w:r>
              <w:rPr>
                <w:rFonts w:ascii="Times New Roman" w:hAnsi="Times New Roman"/>
                <w:sz w:val="28"/>
                <w:szCs w:val="28"/>
                <w:lang w:val="ru-RU"/>
              </w:rPr>
              <w:lastRenderedPageBreak/>
              <w:t>морально та технічно застарілий, дорогоцінних металів не містить.</w:t>
            </w:r>
          </w:p>
        </w:tc>
        <w:tc>
          <w:tcPr>
            <w:tcW w:w="1894" w:type="dxa"/>
            <w:vAlign w:val="center"/>
          </w:tcPr>
          <w:p w14:paraId="021F8823" w14:textId="77777777" w:rsidR="00E42F45" w:rsidRDefault="00000000">
            <w:pPr>
              <w:pStyle w:val="af9"/>
              <w:widowControl w:val="0"/>
              <w:jc w:val="center"/>
              <w:rPr>
                <w:rFonts w:ascii="Times New Roman" w:hAnsi="Times New Roman"/>
                <w:sz w:val="28"/>
                <w:szCs w:val="28"/>
              </w:rPr>
            </w:pPr>
            <w:r>
              <w:rPr>
                <w:rFonts w:ascii="Times New Roman" w:hAnsi="Times New Roman"/>
                <w:sz w:val="28"/>
                <w:szCs w:val="28"/>
                <w:lang w:val="ru-RU"/>
              </w:rPr>
              <w:lastRenderedPageBreak/>
              <w:t>12.06.2023</w:t>
            </w:r>
          </w:p>
        </w:tc>
      </w:tr>
      <w:tr w:rsidR="00E42F45" w14:paraId="406E03AF" w14:textId="77777777" w:rsidTr="0098632E">
        <w:trPr>
          <w:trHeight w:val="665"/>
          <w:jc w:val="center"/>
        </w:trPr>
        <w:tc>
          <w:tcPr>
            <w:tcW w:w="929" w:type="dxa"/>
            <w:vAlign w:val="center"/>
          </w:tcPr>
          <w:p w14:paraId="02F70F4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8</w:t>
            </w:r>
          </w:p>
        </w:tc>
        <w:tc>
          <w:tcPr>
            <w:tcW w:w="3880" w:type="dxa"/>
            <w:vAlign w:val="center"/>
          </w:tcPr>
          <w:p w14:paraId="5B11581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436CCFD5"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Медичний реабілітаційний центр МВС України «Південний Буг»</w:t>
            </w:r>
          </w:p>
        </w:tc>
      </w:tr>
      <w:tr w:rsidR="00E42F45" w14:paraId="02ED2B63" w14:textId="77777777" w:rsidTr="0098632E">
        <w:trPr>
          <w:trHeight w:val="1266"/>
          <w:jc w:val="center"/>
        </w:trPr>
        <w:tc>
          <w:tcPr>
            <w:tcW w:w="929" w:type="dxa"/>
            <w:vAlign w:val="center"/>
          </w:tcPr>
          <w:p w14:paraId="57901A3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8.1</w:t>
            </w:r>
          </w:p>
        </w:tc>
        <w:tc>
          <w:tcPr>
            <w:tcW w:w="3880" w:type="dxa"/>
            <w:vAlign w:val="center"/>
          </w:tcPr>
          <w:p w14:paraId="4E4B121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Котел</w:t>
            </w:r>
            <w:r>
              <w:rPr>
                <w:rFonts w:ascii="Times New Roman" w:hAnsi="Times New Roman" w:cs="Times New Roman"/>
                <w:sz w:val="28"/>
                <w:szCs w:val="28"/>
                <w:lang w:val="ru-RU"/>
              </w:rPr>
              <w:br/>
              <w:t xml:space="preserve">АCV CA-300 </w:t>
            </w:r>
            <w:r>
              <w:rPr>
                <w:rFonts w:ascii="Times New Roman" w:hAnsi="Times New Roman" w:cs="Times New Roman"/>
                <w:sz w:val="28"/>
                <w:szCs w:val="28"/>
                <w:lang w:val="ru-RU"/>
              </w:rPr>
              <w:br/>
              <w:t>(виробник Бельгія)</w:t>
            </w:r>
          </w:p>
        </w:tc>
        <w:tc>
          <w:tcPr>
            <w:tcW w:w="2008" w:type="dxa"/>
            <w:vAlign w:val="center"/>
          </w:tcPr>
          <w:p w14:paraId="3102C3B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10142-0025</w:t>
            </w:r>
          </w:p>
        </w:tc>
        <w:tc>
          <w:tcPr>
            <w:tcW w:w="1364" w:type="dxa"/>
            <w:vAlign w:val="center"/>
          </w:tcPr>
          <w:p w14:paraId="521B33D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2000</w:t>
            </w:r>
          </w:p>
        </w:tc>
        <w:tc>
          <w:tcPr>
            <w:tcW w:w="6131" w:type="dxa"/>
            <w:vAlign w:val="center"/>
          </w:tcPr>
          <w:p w14:paraId="78A1DD88"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Технічно справний. Стан котла задовільний. Потужність котла АCV CA-300 (349 кВт).</w:t>
            </w:r>
          </w:p>
        </w:tc>
        <w:tc>
          <w:tcPr>
            <w:tcW w:w="1894" w:type="dxa"/>
            <w:vAlign w:val="center"/>
          </w:tcPr>
          <w:p w14:paraId="74BC9D5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14A4AC3A" w14:textId="77777777" w:rsidTr="0098632E">
        <w:trPr>
          <w:trHeight w:val="769"/>
          <w:jc w:val="center"/>
        </w:trPr>
        <w:tc>
          <w:tcPr>
            <w:tcW w:w="929" w:type="dxa"/>
            <w:vAlign w:val="center"/>
          </w:tcPr>
          <w:p w14:paraId="5FA63687"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9</w:t>
            </w:r>
          </w:p>
        </w:tc>
        <w:tc>
          <w:tcPr>
            <w:tcW w:w="3880" w:type="dxa"/>
            <w:vAlign w:val="center"/>
          </w:tcPr>
          <w:p w14:paraId="0686B06A"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782A950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Медичний реабілітаційний центр МВС України «Перлина Прикарпаття»</w:t>
            </w:r>
          </w:p>
        </w:tc>
      </w:tr>
      <w:tr w:rsidR="00E42F45" w14:paraId="1676D56E" w14:textId="77777777" w:rsidTr="0098632E">
        <w:trPr>
          <w:trHeight w:val="1484"/>
          <w:jc w:val="center"/>
        </w:trPr>
        <w:tc>
          <w:tcPr>
            <w:tcW w:w="929" w:type="dxa"/>
            <w:vAlign w:val="center"/>
          </w:tcPr>
          <w:p w14:paraId="0C6FEFD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9.1</w:t>
            </w:r>
          </w:p>
        </w:tc>
        <w:tc>
          <w:tcPr>
            <w:tcW w:w="3880" w:type="dxa"/>
            <w:vAlign w:val="center"/>
          </w:tcPr>
          <w:p w14:paraId="3D50922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Пароконвектомат </w:t>
            </w:r>
            <w:r>
              <w:rPr>
                <w:rFonts w:ascii="Times New Roman" w:hAnsi="Times New Roman" w:cs="Times New Roman"/>
                <w:sz w:val="28"/>
                <w:szCs w:val="28"/>
                <w:lang w:val="ru-RU"/>
              </w:rPr>
              <w:br/>
              <w:t>CPF/110</w:t>
            </w:r>
          </w:p>
        </w:tc>
        <w:tc>
          <w:tcPr>
            <w:tcW w:w="2008" w:type="dxa"/>
            <w:vAlign w:val="center"/>
          </w:tcPr>
          <w:p w14:paraId="5703987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10148-0387</w:t>
            </w:r>
          </w:p>
        </w:tc>
        <w:tc>
          <w:tcPr>
            <w:tcW w:w="1364" w:type="dxa"/>
            <w:vAlign w:val="center"/>
          </w:tcPr>
          <w:p w14:paraId="3FFDE7B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2005</w:t>
            </w:r>
          </w:p>
        </w:tc>
        <w:tc>
          <w:tcPr>
            <w:tcW w:w="6131" w:type="dxa"/>
            <w:vAlign w:val="center"/>
          </w:tcPr>
          <w:p w14:paraId="0AAE9446"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Вийшли з ладу нагрівальні елементи та плата керування; ущільнення дверей порване та пересушене; корпус приладу зношений; розбите скло дверей. Виріб не відповідає нормативній документації.</w:t>
            </w:r>
          </w:p>
        </w:tc>
        <w:tc>
          <w:tcPr>
            <w:tcW w:w="1894" w:type="dxa"/>
            <w:vAlign w:val="center"/>
          </w:tcPr>
          <w:p w14:paraId="667AF78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28.08.2023</w:t>
            </w:r>
          </w:p>
        </w:tc>
      </w:tr>
      <w:tr w:rsidR="00E42F45" w14:paraId="1FA45F26" w14:textId="77777777" w:rsidTr="0098632E">
        <w:trPr>
          <w:trHeight w:val="2042"/>
          <w:jc w:val="center"/>
        </w:trPr>
        <w:tc>
          <w:tcPr>
            <w:tcW w:w="929" w:type="dxa"/>
            <w:vAlign w:val="center"/>
          </w:tcPr>
          <w:p w14:paraId="67E6993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9.2</w:t>
            </w:r>
          </w:p>
        </w:tc>
        <w:tc>
          <w:tcPr>
            <w:tcW w:w="3880" w:type="dxa"/>
            <w:vAlign w:val="center"/>
          </w:tcPr>
          <w:p w14:paraId="14903B3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Пароконвектомат </w:t>
            </w:r>
            <w:r>
              <w:rPr>
                <w:rFonts w:ascii="Times New Roman" w:hAnsi="Times New Roman" w:cs="Times New Roman"/>
                <w:sz w:val="28"/>
                <w:szCs w:val="28"/>
                <w:lang w:val="ru-RU"/>
              </w:rPr>
              <w:br/>
              <w:t>CPE/106</w:t>
            </w:r>
          </w:p>
        </w:tc>
        <w:tc>
          <w:tcPr>
            <w:tcW w:w="2008" w:type="dxa"/>
            <w:vAlign w:val="center"/>
          </w:tcPr>
          <w:p w14:paraId="7C3D0A0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10148-0871</w:t>
            </w:r>
          </w:p>
        </w:tc>
        <w:tc>
          <w:tcPr>
            <w:tcW w:w="1364" w:type="dxa"/>
            <w:vAlign w:val="center"/>
          </w:tcPr>
          <w:p w14:paraId="4CB6358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2007</w:t>
            </w:r>
          </w:p>
        </w:tc>
        <w:tc>
          <w:tcPr>
            <w:tcW w:w="6131" w:type="dxa"/>
            <w:vAlign w:val="center"/>
          </w:tcPr>
          <w:p w14:paraId="052FB863" w14:textId="77777777" w:rsidR="00E42F45" w:rsidRDefault="00000000">
            <w:pPr>
              <w:widowControl w:val="0"/>
              <w:spacing w:after="0" w:line="240" w:lineRule="auto"/>
              <w:jc w:val="both"/>
              <w:rPr>
                <w:rFonts w:ascii="Times New Roman" w:hAnsi="Times New Roman" w:cs="Times New Roman"/>
                <w:sz w:val="28"/>
                <w:szCs w:val="28"/>
              </w:rPr>
            </w:pPr>
            <w:r w:rsidRPr="0098632E">
              <w:rPr>
                <w:rFonts w:ascii="Times New Roman" w:hAnsi="Times New Roman" w:cs="Times New Roman"/>
                <w:sz w:val="28"/>
                <w:szCs w:val="28"/>
              </w:rPr>
              <w:t xml:space="preserve">Вийшов з ладу бойлер, ушкоджена плата керування; вийшли з ладу двигун конвекції та вентилятор; пошкоджений ущільнювач дверей. </w:t>
            </w:r>
            <w:r>
              <w:rPr>
                <w:rFonts w:ascii="Times New Roman" w:hAnsi="Times New Roman" w:cs="Times New Roman"/>
                <w:sz w:val="28"/>
                <w:szCs w:val="28"/>
                <w:lang w:val="ru-RU"/>
              </w:rPr>
              <w:t>Виріб не відповідає нормативній документації.</w:t>
            </w:r>
          </w:p>
        </w:tc>
        <w:tc>
          <w:tcPr>
            <w:tcW w:w="1894" w:type="dxa"/>
            <w:vAlign w:val="center"/>
          </w:tcPr>
          <w:p w14:paraId="12C1609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28.08.2023</w:t>
            </w:r>
          </w:p>
        </w:tc>
      </w:tr>
      <w:tr w:rsidR="00E42F45" w14:paraId="53FB3A45" w14:textId="77777777" w:rsidTr="0098632E">
        <w:trPr>
          <w:trHeight w:val="2042"/>
          <w:jc w:val="center"/>
        </w:trPr>
        <w:tc>
          <w:tcPr>
            <w:tcW w:w="929" w:type="dxa"/>
            <w:tcBorders>
              <w:top w:val="nil"/>
            </w:tcBorders>
            <w:vAlign w:val="center"/>
          </w:tcPr>
          <w:p w14:paraId="7FE2EEC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9.3</w:t>
            </w:r>
          </w:p>
        </w:tc>
        <w:tc>
          <w:tcPr>
            <w:tcW w:w="3880" w:type="dxa"/>
            <w:tcBorders>
              <w:top w:val="nil"/>
            </w:tcBorders>
            <w:vAlign w:val="center"/>
          </w:tcPr>
          <w:p w14:paraId="3FEFF89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Дизельний генератор </w:t>
            </w:r>
          </w:p>
          <w:p w14:paraId="742011F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ДГ-100-Теп</w:t>
            </w:r>
          </w:p>
        </w:tc>
        <w:tc>
          <w:tcPr>
            <w:tcW w:w="2008" w:type="dxa"/>
            <w:tcBorders>
              <w:top w:val="nil"/>
            </w:tcBorders>
            <w:vAlign w:val="center"/>
          </w:tcPr>
          <w:p w14:paraId="0D5E268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10141-0006</w:t>
            </w:r>
          </w:p>
        </w:tc>
        <w:tc>
          <w:tcPr>
            <w:tcW w:w="1364" w:type="dxa"/>
            <w:tcBorders>
              <w:top w:val="nil"/>
            </w:tcBorders>
            <w:vAlign w:val="center"/>
          </w:tcPr>
          <w:p w14:paraId="6FF8847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1974</w:t>
            </w:r>
          </w:p>
        </w:tc>
        <w:tc>
          <w:tcPr>
            <w:tcW w:w="6131" w:type="dxa"/>
            <w:tcBorders>
              <w:top w:val="nil"/>
            </w:tcBorders>
            <w:vAlign w:val="center"/>
          </w:tcPr>
          <w:p w14:paraId="2BFEECBA"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Генератор фізично зношений та морально застаріли. Пошкоджені основні деталі двигуна.</w:t>
            </w:r>
          </w:p>
        </w:tc>
        <w:tc>
          <w:tcPr>
            <w:tcW w:w="1894" w:type="dxa"/>
            <w:tcBorders>
              <w:top w:val="nil"/>
            </w:tcBorders>
            <w:vAlign w:val="center"/>
          </w:tcPr>
          <w:p w14:paraId="6DCC5C3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31.01.2024</w:t>
            </w:r>
          </w:p>
        </w:tc>
      </w:tr>
      <w:tr w:rsidR="00E42F45" w14:paraId="209C930E" w14:textId="77777777" w:rsidTr="0098632E">
        <w:trPr>
          <w:trHeight w:val="561"/>
          <w:jc w:val="center"/>
        </w:trPr>
        <w:tc>
          <w:tcPr>
            <w:tcW w:w="929" w:type="dxa"/>
            <w:vAlign w:val="center"/>
          </w:tcPr>
          <w:p w14:paraId="67F74633"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10</w:t>
            </w:r>
          </w:p>
        </w:tc>
        <w:tc>
          <w:tcPr>
            <w:tcW w:w="3880" w:type="dxa"/>
            <w:vAlign w:val="center"/>
          </w:tcPr>
          <w:p w14:paraId="144D0A4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6A8F9038"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Державна установа</w:t>
            </w:r>
            <w:r>
              <w:rPr>
                <w:rFonts w:ascii="Times New Roman" w:hAnsi="Times New Roman" w:cs="Times New Roman"/>
                <w:b/>
                <w:bCs/>
                <w:i w:val="0"/>
                <w:iCs w:val="0"/>
                <w:sz w:val="28"/>
                <w:szCs w:val="28"/>
                <w:lang w:val="ru-RU"/>
              </w:rPr>
              <w:br/>
            </w:r>
            <w:r>
              <w:rPr>
                <w:rFonts w:ascii="Times New Roman" w:hAnsi="Times New Roman" w:cs="Times New Roman"/>
                <w:b/>
                <w:bCs/>
                <w:i w:val="0"/>
                <w:iCs w:val="0"/>
                <w:sz w:val="28"/>
                <w:szCs w:val="28"/>
                <w:lang w:val="ru-RU"/>
              </w:rPr>
              <w:lastRenderedPageBreak/>
              <w:t xml:space="preserve"> «Головний медичний центр Міністерства внутрішніх справ України»</w:t>
            </w:r>
          </w:p>
        </w:tc>
      </w:tr>
      <w:tr w:rsidR="00E42F45" w14:paraId="0423406B" w14:textId="77777777" w:rsidTr="0098632E">
        <w:trPr>
          <w:trHeight w:val="1420"/>
          <w:jc w:val="center"/>
        </w:trPr>
        <w:tc>
          <w:tcPr>
            <w:tcW w:w="929" w:type="dxa"/>
            <w:vAlign w:val="center"/>
          </w:tcPr>
          <w:p w14:paraId="31C24A5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10.1</w:t>
            </w:r>
          </w:p>
        </w:tc>
        <w:tc>
          <w:tcPr>
            <w:tcW w:w="3880" w:type="dxa"/>
            <w:vAlign w:val="center"/>
          </w:tcPr>
          <w:p w14:paraId="05AAC5A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Каток для прасування </w:t>
            </w:r>
            <w:r>
              <w:rPr>
                <w:rFonts w:ascii="Times New Roman" w:hAnsi="Times New Roman" w:cs="Times New Roman"/>
                <w:sz w:val="28"/>
                <w:szCs w:val="28"/>
                <w:lang w:val="ru-RU"/>
              </w:rPr>
              <w:br/>
              <w:t>D1 (1800/4)</w:t>
            </w:r>
          </w:p>
        </w:tc>
        <w:tc>
          <w:tcPr>
            <w:tcW w:w="2008" w:type="dxa"/>
            <w:vAlign w:val="center"/>
          </w:tcPr>
          <w:p w14:paraId="036E17B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101620107</w:t>
            </w:r>
          </w:p>
        </w:tc>
        <w:tc>
          <w:tcPr>
            <w:tcW w:w="1364" w:type="dxa"/>
            <w:vAlign w:val="center"/>
          </w:tcPr>
          <w:p w14:paraId="318FFB0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1999</w:t>
            </w:r>
          </w:p>
        </w:tc>
        <w:tc>
          <w:tcPr>
            <w:tcW w:w="6131" w:type="dxa"/>
            <w:vAlign w:val="center"/>
          </w:tcPr>
          <w:p w14:paraId="7B9F176F"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Технічно несправний. У пристрої вийшли з ладу комплектуючі: інвертор частоти, плата керування, датчик температури та прасувальні стрічки.</w:t>
            </w:r>
          </w:p>
        </w:tc>
        <w:tc>
          <w:tcPr>
            <w:tcW w:w="1894" w:type="dxa"/>
            <w:vAlign w:val="center"/>
          </w:tcPr>
          <w:p w14:paraId="2152E4E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29.09.2021</w:t>
            </w:r>
          </w:p>
        </w:tc>
      </w:tr>
      <w:tr w:rsidR="00E42F45" w14:paraId="43F78181" w14:textId="77777777" w:rsidTr="0098632E">
        <w:trPr>
          <w:trHeight w:val="920"/>
          <w:jc w:val="center"/>
        </w:trPr>
        <w:tc>
          <w:tcPr>
            <w:tcW w:w="929" w:type="dxa"/>
            <w:vAlign w:val="center"/>
          </w:tcPr>
          <w:p w14:paraId="576AF095"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11</w:t>
            </w:r>
          </w:p>
        </w:tc>
        <w:tc>
          <w:tcPr>
            <w:tcW w:w="3880" w:type="dxa"/>
            <w:vAlign w:val="center"/>
          </w:tcPr>
          <w:p w14:paraId="3C9C684F"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575A72E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 xml:space="preserve">Головний сервісний центр МВС </w:t>
            </w:r>
            <w:r>
              <w:rPr>
                <w:rFonts w:ascii="Times New Roman" w:hAnsi="Times New Roman" w:cs="Times New Roman"/>
                <w:b/>
                <w:bCs/>
                <w:i w:val="0"/>
                <w:iCs w:val="0"/>
                <w:sz w:val="28"/>
                <w:szCs w:val="28"/>
                <w:lang w:val="ru-RU"/>
              </w:rPr>
              <w:br/>
              <w:t>Регіональний сервісний центр ГСЦ МВС в Черкаській області (філія ГСЦ МВС)</w:t>
            </w:r>
          </w:p>
        </w:tc>
      </w:tr>
      <w:tr w:rsidR="00E42F45" w14:paraId="2E6D701E" w14:textId="77777777" w:rsidTr="0098632E">
        <w:trPr>
          <w:trHeight w:val="1420"/>
          <w:jc w:val="center"/>
        </w:trPr>
        <w:tc>
          <w:tcPr>
            <w:tcW w:w="929" w:type="dxa"/>
            <w:vAlign w:val="center"/>
          </w:tcPr>
          <w:p w14:paraId="09300D6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11.1</w:t>
            </w:r>
          </w:p>
        </w:tc>
        <w:tc>
          <w:tcPr>
            <w:tcW w:w="3880" w:type="dxa"/>
            <w:vAlign w:val="center"/>
          </w:tcPr>
          <w:p w14:paraId="137FE71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Котел твердопаливний «Кобзар НГ-60» з блоком керування «АСК Мікротех»</w:t>
            </w:r>
          </w:p>
        </w:tc>
        <w:tc>
          <w:tcPr>
            <w:tcW w:w="2008" w:type="dxa"/>
            <w:vAlign w:val="center"/>
          </w:tcPr>
          <w:p w14:paraId="2CD124B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10141-0006</w:t>
            </w:r>
          </w:p>
        </w:tc>
        <w:tc>
          <w:tcPr>
            <w:tcW w:w="1364" w:type="dxa"/>
            <w:vAlign w:val="center"/>
          </w:tcPr>
          <w:p w14:paraId="6E794AC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2017</w:t>
            </w:r>
          </w:p>
        </w:tc>
        <w:tc>
          <w:tcPr>
            <w:tcW w:w="6131" w:type="dxa"/>
            <w:vAlign w:val="center"/>
          </w:tcPr>
          <w:p w14:paraId="3E36A223"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Досягнення граничного стану прогару поверхні нагріву.</w:t>
            </w:r>
          </w:p>
        </w:tc>
        <w:tc>
          <w:tcPr>
            <w:tcW w:w="1894" w:type="dxa"/>
            <w:vAlign w:val="center"/>
          </w:tcPr>
          <w:p w14:paraId="50F6FDA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31.07.2023</w:t>
            </w:r>
          </w:p>
        </w:tc>
      </w:tr>
      <w:tr w:rsidR="00E42F45" w14:paraId="71BD789E" w14:textId="77777777" w:rsidTr="0098632E">
        <w:trPr>
          <w:trHeight w:val="864"/>
          <w:jc w:val="center"/>
        </w:trPr>
        <w:tc>
          <w:tcPr>
            <w:tcW w:w="929" w:type="dxa"/>
            <w:vAlign w:val="center"/>
          </w:tcPr>
          <w:p w14:paraId="37730C2F"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12</w:t>
            </w:r>
          </w:p>
        </w:tc>
        <w:tc>
          <w:tcPr>
            <w:tcW w:w="3880" w:type="dxa"/>
            <w:vAlign w:val="center"/>
          </w:tcPr>
          <w:p w14:paraId="53A74662"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5343F93D"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Харківський національний університет внутрішніх справ</w:t>
            </w:r>
            <w:r>
              <w:rPr>
                <w:rFonts w:ascii="Times New Roman" w:hAnsi="Times New Roman" w:cs="Times New Roman"/>
                <w:b/>
                <w:bCs/>
                <w:i w:val="0"/>
                <w:iCs w:val="0"/>
                <w:sz w:val="28"/>
                <w:szCs w:val="28"/>
                <w:lang w:val="ru-RU"/>
              </w:rPr>
              <w:br/>
              <w:t>(Кременчуцький льотний коледж )</w:t>
            </w:r>
          </w:p>
        </w:tc>
      </w:tr>
      <w:tr w:rsidR="00E42F45" w14:paraId="6AFB4849" w14:textId="77777777" w:rsidTr="0098632E">
        <w:trPr>
          <w:trHeight w:val="2179"/>
          <w:jc w:val="center"/>
        </w:trPr>
        <w:tc>
          <w:tcPr>
            <w:tcW w:w="929" w:type="dxa"/>
            <w:vAlign w:val="center"/>
          </w:tcPr>
          <w:p w14:paraId="0CC92EF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12.1</w:t>
            </w:r>
          </w:p>
        </w:tc>
        <w:tc>
          <w:tcPr>
            <w:tcW w:w="3880" w:type="dxa"/>
            <w:vAlign w:val="center"/>
          </w:tcPr>
          <w:p w14:paraId="1D1BDDC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Тренажер Мі-8</w:t>
            </w:r>
            <w:r>
              <w:rPr>
                <w:rFonts w:ascii="Times New Roman" w:hAnsi="Times New Roman" w:cs="Times New Roman"/>
                <w:sz w:val="28"/>
                <w:szCs w:val="28"/>
                <w:lang w:val="ru-RU"/>
              </w:rPr>
              <w:br/>
              <w:t>виріб.475</w:t>
            </w:r>
          </w:p>
        </w:tc>
        <w:tc>
          <w:tcPr>
            <w:tcW w:w="2008" w:type="dxa"/>
            <w:vAlign w:val="center"/>
          </w:tcPr>
          <w:p w14:paraId="5116D9A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101411910</w:t>
            </w:r>
          </w:p>
        </w:tc>
        <w:tc>
          <w:tcPr>
            <w:tcW w:w="1364" w:type="dxa"/>
            <w:vAlign w:val="center"/>
          </w:tcPr>
          <w:p w14:paraId="74A9B44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1983</w:t>
            </w:r>
          </w:p>
        </w:tc>
        <w:tc>
          <w:tcPr>
            <w:tcW w:w="6131" w:type="dxa"/>
            <w:vAlign w:val="center"/>
          </w:tcPr>
          <w:p w14:paraId="2D75563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В тренажері відпрацьований амортизаційний термін експлуатації. Тренажер морально застарілий та фізично зношений. Навігаційне обладнання технічно несправне, блок управління контролем зношений, щиток сигналізації, імітатор візуального оточення, електрообладнання, випрямний агрегат ВАКС, </w:t>
            </w:r>
            <w:r>
              <w:rPr>
                <w:rFonts w:ascii="Times New Roman" w:hAnsi="Times New Roman" w:cs="Times New Roman"/>
                <w:sz w:val="28"/>
                <w:szCs w:val="28"/>
                <w:lang w:val="ru-RU"/>
              </w:rPr>
              <w:br/>
              <w:t>гідроакумулятори гідронасосної станції «Волна» зношені та технічно несправні.</w:t>
            </w:r>
          </w:p>
        </w:tc>
        <w:tc>
          <w:tcPr>
            <w:tcW w:w="1894" w:type="dxa"/>
            <w:vAlign w:val="center"/>
          </w:tcPr>
          <w:p w14:paraId="0978665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286C0E49" w14:textId="77777777" w:rsidTr="0098632E">
        <w:trPr>
          <w:trHeight w:val="3121"/>
          <w:jc w:val="center"/>
        </w:trPr>
        <w:tc>
          <w:tcPr>
            <w:tcW w:w="929" w:type="dxa"/>
            <w:vAlign w:val="center"/>
          </w:tcPr>
          <w:p w14:paraId="4510FE3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12.2</w:t>
            </w:r>
          </w:p>
        </w:tc>
        <w:tc>
          <w:tcPr>
            <w:tcW w:w="3880" w:type="dxa"/>
            <w:vAlign w:val="center"/>
          </w:tcPr>
          <w:p w14:paraId="37F4B0B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Тренажер </w:t>
            </w:r>
            <w:r>
              <w:rPr>
                <w:rFonts w:ascii="Times New Roman" w:hAnsi="Times New Roman" w:cs="Times New Roman"/>
                <w:sz w:val="28"/>
                <w:szCs w:val="28"/>
                <w:lang w:val="ru-RU"/>
              </w:rPr>
              <w:br/>
              <w:t>КТВ Мі-8</w:t>
            </w:r>
          </w:p>
        </w:tc>
        <w:tc>
          <w:tcPr>
            <w:tcW w:w="2008" w:type="dxa"/>
            <w:vAlign w:val="center"/>
          </w:tcPr>
          <w:p w14:paraId="412CFDB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101411909</w:t>
            </w:r>
          </w:p>
        </w:tc>
        <w:tc>
          <w:tcPr>
            <w:tcW w:w="1364" w:type="dxa"/>
            <w:vAlign w:val="center"/>
          </w:tcPr>
          <w:p w14:paraId="760DC15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1988</w:t>
            </w:r>
          </w:p>
        </w:tc>
        <w:tc>
          <w:tcPr>
            <w:tcW w:w="6131" w:type="dxa"/>
            <w:vAlign w:val="center"/>
          </w:tcPr>
          <w:p w14:paraId="08BE6C5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 xml:space="preserve">Тренажер технічно несправний. Унаслідок тривалої експлуатації тренажер неукомплектований. Стан тренажера -вертольоту не дозволяє його подальшу експлуатацію за призначенням. Імітатор показника висоти, блок управління контролем, </w:t>
            </w:r>
            <w:r>
              <w:rPr>
                <w:rFonts w:ascii="Times New Roman" w:hAnsi="Times New Roman" w:cs="Times New Roman"/>
                <w:sz w:val="28"/>
                <w:szCs w:val="28"/>
                <w:lang w:val="ru-RU"/>
              </w:rPr>
              <w:br/>
              <w:t xml:space="preserve">щиток сигналізації відключення систем, щиток імітатор візуального оточення, випрямний агрегат ВАКС, електрообладнання,  гідроакумулятори гідронасосної станції «Волна» </w:t>
            </w:r>
            <w:r>
              <w:rPr>
                <w:rFonts w:ascii="Times New Roman" w:hAnsi="Times New Roman" w:cs="Times New Roman"/>
                <w:sz w:val="28"/>
                <w:szCs w:val="28"/>
                <w:lang w:val="ru-RU"/>
              </w:rPr>
              <w:lastRenderedPageBreak/>
              <w:t>зношені та технічно несправні.</w:t>
            </w:r>
          </w:p>
        </w:tc>
        <w:tc>
          <w:tcPr>
            <w:tcW w:w="1894" w:type="dxa"/>
            <w:vAlign w:val="center"/>
          </w:tcPr>
          <w:p w14:paraId="0C4E06E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29.04.2021</w:t>
            </w:r>
          </w:p>
        </w:tc>
      </w:tr>
      <w:tr w:rsidR="00E42F45" w14:paraId="579D47E7" w14:textId="77777777" w:rsidTr="0098632E">
        <w:trPr>
          <w:trHeight w:val="1116"/>
          <w:jc w:val="center"/>
        </w:trPr>
        <w:tc>
          <w:tcPr>
            <w:tcW w:w="929" w:type="dxa"/>
            <w:vAlign w:val="center"/>
          </w:tcPr>
          <w:p w14:paraId="546CC0BD"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13</w:t>
            </w:r>
          </w:p>
        </w:tc>
        <w:tc>
          <w:tcPr>
            <w:tcW w:w="3880" w:type="dxa"/>
            <w:vAlign w:val="center"/>
          </w:tcPr>
          <w:p w14:paraId="6B2AF1A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6986133F"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 xml:space="preserve">Державна установа </w:t>
            </w:r>
            <w:r>
              <w:rPr>
                <w:rFonts w:ascii="Times New Roman" w:hAnsi="Times New Roman" w:cs="Times New Roman"/>
                <w:b/>
                <w:bCs/>
                <w:i w:val="0"/>
                <w:iCs w:val="0"/>
                <w:sz w:val="28"/>
                <w:szCs w:val="28"/>
                <w:lang w:val="ru-RU"/>
              </w:rPr>
              <w:br/>
              <w:t>«Центр обслуговування підрозділів Міністерства внутрішніх справ України»</w:t>
            </w:r>
          </w:p>
        </w:tc>
      </w:tr>
      <w:tr w:rsidR="00E42F45" w14:paraId="7D4D98E6" w14:textId="77777777" w:rsidTr="0098632E">
        <w:trPr>
          <w:trHeight w:val="70"/>
          <w:jc w:val="center"/>
        </w:trPr>
        <w:tc>
          <w:tcPr>
            <w:tcW w:w="929" w:type="dxa"/>
            <w:vAlign w:val="center"/>
          </w:tcPr>
          <w:p w14:paraId="47DC57F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13.1</w:t>
            </w:r>
          </w:p>
        </w:tc>
        <w:tc>
          <w:tcPr>
            <w:tcW w:w="3880" w:type="dxa"/>
            <w:vAlign w:val="center"/>
          </w:tcPr>
          <w:p w14:paraId="6B27598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Кондиціонер з вертикальною</w:t>
            </w:r>
            <w:r>
              <w:rPr>
                <w:rFonts w:ascii="Times New Roman" w:hAnsi="Times New Roman" w:cs="Times New Roman"/>
                <w:sz w:val="28"/>
                <w:szCs w:val="28"/>
                <w:lang w:val="ru-RU"/>
              </w:rPr>
              <w:br/>
              <w:t>подачею до виносних конд.</w:t>
            </w:r>
          </w:p>
        </w:tc>
        <w:tc>
          <w:tcPr>
            <w:tcW w:w="2008" w:type="dxa"/>
            <w:vAlign w:val="center"/>
          </w:tcPr>
          <w:p w14:paraId="5FA3404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101482353</w:t>
            </w:r>
          </w:p>
        </w:tc>
        <w:tc>
          <w:tcPr>
            <w:tcW w:w="1364" w:type="dxa"/>
            <w:vAlign w:val="center"/>
          </w:tcPr>
          <w:p w14:paraId="14E4C2C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2007</w:t>
            </w:r>
          </w:p>
        </w:tc>
        <w:tc>
          <w:tcPr>
            <w:tcW w:w="6131" w:type="dxa"/>
            <w:vAlign w:val="center"/>
          </w:tcPr>
          <w:p w14:paraId="2710F282"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vAlign w:val="center"/>
          </w:tcPr>
          <w:p w14:paraId="5034312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04ED12A1" w14:textId="77777777" w:rsidTr="0098632E">
        <w:trPr>
          <w:trHeight w:val="1637"/>
          <w:jc w:val="center"/>
        </w:trPr>
        <w:tc>
          <w:tcPr>
            <w:tcW w:w="929" w:type="dxa"/>
            <w:vAlign w:val="center"/>
          </w:tcPr>
          <w:p w14:paraId="24EFAE8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13.2</w:t>
            </w:r>
          </w:p>
        </w:tc>
        <w:tc>
          <w:tcPr>
            <w:tcW w:w="3880" w:type="dxa"/>
            <w:vAlign w:val="center"/>
          </w:tcPr>
          <w:p w14:paraId="1A08794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Кондиціонер з вертикальною </w:t>
            </w:r>
            <w:r>
              <w:rPr>
                <w:rFonts w:ascii="Times New Roman" w:hAnsi="Times New Roman" w:cs="Times New Roman"/>
                <w:sz w:val="28"/>
                <w:szCs w:val="28"/>
                <w:lang w:val="ru-RU"/>
              </w:rPr>
              <w:br/>
              <w:t>подачею до виносних конд.</w:t>
            </w:r>
          </w:p>
        </w:tc>
        <w:tc>
          <w:tcPr>
            <w:tcW w:w="2008" w:type="dxa"/>
            <w:vAlign w:val="center"/>
          </w:tcPr>
          <w:p w14:paraId="522207D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101482354</w:t>
            </w:r>
          </w:p>
        </w:tc>
        <w:tc>
          <w:tcPr>
            <w:tcW w:w="1364" w:type="dxa"/>
            <w:vAlign w:val="center"/>
          </w:tcPr>
          <w:p w14:paraId="7E92A10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2007</w:t>
            </w:r>
          </w:p>
        </w:tc>
        <w:tc>
          <w:tcPr>
            <w:tcW w:w="6131" w:type="dxa"/>
            <w:vAlign w:val="center"/>
          </w:tcPr>
          <w:p w14:paraId="5A38B46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Технічно несправний. В пристрої внаслідок інтенсивної експлуатації зношені деталі, не підтримує температурний режим. 100% знос. Морально застарілий.</w:t>
            </w:r>
          </w:p>
        </w:tc>
        <w:tc>
          <w:tcPr>
            <w:tcW w:w="1894" w:type="dxa"/>
            <w:vAlign w:val="center"/>
          </w:tcPr>
          <w:p w14:paraId="4C6CCC7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29.04.2021</w:t>
            </w:r>
          </w:p>
        </w:tc>
      </w:tr>
      <w:tr w:rsidR="00E42F45" w14:paraId="1F0E4D61" w14:textId="77777777" w:rsidTr="0098632E">
        <w:trPr>
          <w:trHeight w:val="1136"/>
          <w:jc w:val="center"/>
        </w:trPr>
        <w:tc>
          <w:tcPr>
            <w:tcW w:w="929" w:type="dxa"/>
            <w:vAlign w:val="center"/>
          </w:tcPr>
          <w:p w14:paraId="15F067B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13.3</w:t>
            </w:r>
          </w:p>
        </w:tc>
        <w:tc>
          <w:tcPr>
            <w:tcW w:w="3880" w:type="dxa"/>
            <w:vAlign w:val="center"/>
          </w:tcPr>
          <w:p w14:paraId="42C74D9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Вимірювальний комплекс НР-8935</w:t>
            </w:r>
          </w:p>
        </w:tc>
        <w:tc>
          <w:tcPr>
            <w:tcW w:w="2008" w:type="dxa"/>
            <w:vAlign w:val="center"/>
          </w:tcPr>
          <w:p w14:paraId="72F8749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101430036</w:t>
            </w:r>
          </w:p>
        </w:tc>
        <w:tc>
          <w:tcPr>
            <w:tcW w:w="1364" w:type="dxa"/>
            <w:vAlign w:val="center"/>
          </w:tcPr>
          <w:p w14:paraId="409DC3C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2007</w:t>
            </w:r>
          </w:p>
        </w:tc>
        <w:tc>
          <w:tcPr>
            <w:tcW w:w="6131" w:type="dxa"/>
            <w:vAlign w:val="center"/>
          </w:tcPr>
          <w:p w14:paraId="7F6CC477"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Значні похибки при вимірюванні параметрів.</w:t>
            </w:r>
          </w:p>
        </w:tc>
        <w:tc>
          <w:tcPr>
            <w:tcW w:w="1894" w:type="dxa"/>
            <w:vAlign w:val="center"/>
          </w:tcPr>
          <w:p w14:paraId="0ABA104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28.08.2023</w:t>
            </w:r>
          </w:p>
        </w:tc>
      </w:tr>
      <w:tr w:rsidR="00E42F45" w14:paraId="6DCD66B6" w14:textId="77777777" w:rsidTr="0098632E">
        <w:trPr>
          <w:trHeight w:val="1235"/>
          <w:jc w:val="center"/>
        </w:trPr>
        <w:tc>
          <w:tcPr>
            <w:tcW w:w="929" w:type="dxa"/>
            <w:vAlign w:val="center"/>
          </w:tcPr>
          <w:p w14:paraId="02BB4BD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13.4</w:t>
            </w:r>
          </w:p>
        </w:tc>
        <w:tc>
          <w:tcPr>
            <w:tcW w:w="3880" w:type="dxa"/>
            <w:vAlign w:val="center"/>
          </w:tcPr>
          <w:p w14:paraId="66587900" w14:textId="77777777" w:rsidR="00E42F45" w:rsidRDefault="00000000">
            <w:pPr>
              <w:widowControl w:val="0"/>
              <w:spacing w:after="0" w:line="240" w:lineRule="auto"/>
              <w:jc w:val="center"/>
              <w:rPr>
                <w:rFonts w:ascii="Times New Roman" w:hAnsi="Times New Roman" w:cs="Times New Roman"/>
                <w:sz w:val="28"/>
                <w:szCs w:val="28"/>
              </w:rPr>
            </w:pPr>
            <w:r w:rsidRPr="0098632E">
              <w:rPr>
                <w:rFonts w:ascii="Times New Roman" w:hAnsi="Times New Roman" w:cs="Times New Roman"/>
                <w:sz w:val="28"/>
                <w:szCs w:val="28"/>
              </w:rPr>
              <w:t xml:space="preserve">Полиця для дискового масиву </w:t>
            </w:r>
            <w:r>
              <w:rPr>
                <w:rFonts w:ascii="Times New Roman" w:hAnsi="Times New Roman" w:cs="Times New Roman"/>
                <w:sz w:val="28"/>
                <w:szCs w:val="28"/>
                <w:lang w:val="ru-RU"/>
              </w:rPr>
              <w:t>FugitsuSiemensFibreCAT</w:t>
            </w:r>
            <w:r w:rsidRPr="0098632E">
              <w:rPr>
                <w:rFonts w:ascii="Times New Roman" w:hAnsi="Times New Roman" w:cs="Times New Roman"/>
                <w:sz w:val="28"/>
                <w:szCs w:val="28"/>
              </w:rPr>
              <w:t xml:space="preserve"> </w:t>
            </w:r>
            <w:r>
              <w:rPr>
                <w:rFonts w:ascii="Times New Roman" w:hAnsi="Times New Roman" w:cs="Times New Roman"/>
                <w:sz w:val="28"/>
                <w:szCs w:val="28"/>
                <w:lang w:val="ru-RU"/>
              </w:rPr>
              <w:t>SX</w:t>
            </w:r>
            <w:r w:rsidRPr="0098632E">
              <w:rPr>
                <w:rFonts w:ascii="Times New Roman" w:hAnsi="Times New Roman" w:cs="Times New Roman"/>
                <w:sz w:val="28"/>
                <w:szCs w:val="28"/>
              </w:rPr>
              <w:t>80,2</w:t>
            </w:r>
            <w:r>
              <w:rPr>
                <w:rFonts w:ascii="Times New Roman" w:hAnsi="Times New Roman" w:cs="Times New Roman"/>
                <w:sz w:val="28"/>
                <w:szCs w:val="28"/>
                <w:lang w:val="ru-RU"/>
              </w:rPr>
              <w:t>U</w:t>
            </w:r>
            <w:r w:rsidRPr="0098632E">
              <w:rPr>
                <w:rFonts w:ascii="Times New Roman" w:hAnsi="Times New Roman" w:cs="Times New Roman"/>
                <w:sz w:val="28"/>
                <w:szCs w:val="28"/>
              </w:rPr>
              <w:t xml:space="preserve"> з 12 дисками,300</w:t>
            </w:r>
          </w:p>
        </w:tc>
        <w:tc>
          <w:tcPr>
            <w:tcW w:w="2008" w:type="dxa"/>
            <w:vAlign w:val="center"/>
          </w:tcPr>
          <w:p w14:paraId="6B26DA4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10163-3338</w:t>
            </w:r>
          </w:p>
        </w:tc>
        <w:tc>
          <w:tcPr>
            <w:tcW w:w="1364" w:type="dxa"/>
            <w:vAlign w:val="center"/>
          </w:tcPr>
          <w:p w14:paraId="4C91C2F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2012</w:t>
            </w:r>
          </w:p>
        </w:tc>
        <w:tc>
          <w:tcPr>
            <w:tcW w:w="6131" w:type="dxa"/>
            <w:vAlign w:val="center"/>
          </w:tcPr>
          <w:p w14:paraId="0EF27067"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Вийшли з ладу жорсткі диски та контролери для зчитування інформації.</w:t>
            </w:r>
          </w:p>
        </w:tc>
        <w:tc>
          <w:tcPr>
            <w:tcW w:w="1894" w:type="dxa"/>
            <w:vAlign w:val="center"/>
          </w:tcPr>
          <w:p w14:paraId="05CEE90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31.01.2024</w:t>
            </w:r>
          </w:p>
        </w:tc>
      </w:tr>
      <w:tr w:rsidR="00E42F45" w14:paraId="19E617F5" w14:textId="77777777" w:rsidTr="0098632E">
        <w:trPr>
          <w:trHeight w:val="1533"/>
          <w:jc w:val="center"/>
        </w:trPr>
        <w:tc>
          <w:tcPr>
            <w:tcW w:w="929" w:type="dxa"/>
            <w:vAlign w:val="center"/>
          </w:tcPr>
          <w:p w14:paraId="7BEA396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13.5</w:t>
            </w:r>
          </w:p>
        </w:tc>
        <w:tc>
          <w:tcPr>
            <w:tcW w:w="3880" w:type="dxa"/>
            <w:vAlign w:val="center"/>
          </w:tcPr>
          <w:p w14:paraId="63A9ADE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Базовий пристрій</w:t>
            </w:r>
          </w:p>
        </w:tc>
        <w:tc>
          <w:tcPr>
            <w:tcW w:w="2008" w:type="dxa"/>
            <w:vAlign w:val="center"/>
          </w:tcPr>
          <w:p w14:paraId="7F80CC94"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10148-0784</w:t>
            </w:r>
          </w:p>
        </w:tc>
        <w:tc>
          <w:tcPr>
            <w:tcW w:w="1364" w:type="dxa"/>
            <w:vAlign w:val="center"/>
          </w:tcPr>
          <w:p w14:paraId="0B35584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2003</w:t>
            </w:r>
          </w:p>
        </w:tc>
        <w:tc>
          <w:tcPr>
            <w:tcW w:w="6131" w:type="dxa"/>
            <w:vAlign w:val="center"/>
          </w:tcPr>
          <w:p w14:paraId="18888838"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894" w:type="dxa"/>
            <w:vAlign w:val="center"/>
          </w:tcPr>
          <w:p w14:paraId="48DE797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31.01.2024</w:t>
            </w:r>
          </w:p>
        </w:tc>
      </w:tr>
      <w:tr w:rsidR="00E42F45" w14:paraId="486E8320" w14:textId="77777777" w:rsidTr="0098632E">
        <w:trPr>
          <w:trHeight w:val="1240"/>
          <w:jc w:val="center"/>
        </w:trPr>
        <w:tc>
          <w:tcPr>
            <w:tcW w:w="929" w:type="dxa"/>
            <w:vAlign w:val="center"/>
          </w:tcPr>
          <w:p w14:paraId="2B31CA0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13.6</w:t>
            </w:r>
          </w:p>
        </w:tc>
        <w:tc>
          <w:tcPr>
            <w:tcW w:w="3880" w:type="dxa"/>
            <w:vAlign w:val="center"/>
          </w:tcPr>
          <w:p w14:paraId="3021297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Проектор мультимедійний Epson EMP-8300 NL</w:t>
            </w:r>
          </w:p>
        </w:tc>
        <w:tc>
          <w:tcPr>
            <w:tcW w:w="2008" w:type="dxa"/>
            <w:vAlign w:val="center"/>
          </w:tcPr>
          <w:p w14:paraId="0340A4C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10148-2514</w:t>
            </w:r>
          </w:p>
        </w:tc>
        <w:tc>
          <w:tcPr>
            <w:tcW w:w="1364" w:type="dxa"/>
            <w:vAlign w:val="center"/>
          </w:tcPr>
          <w:p w14:paraId="61FE4B5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2007</w:t>
            </w:r>
          </w:p>
        </w:tc>
        <w:tc>
          <w:tcPr>
            <w:tcW w:w="6131" w:type="dxa"/>
            <w:vAlign w:val="center"/>
          </w:tcPr>
          <w:p w14:paraId="739E56A0"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Несправна внутрішня плата та блок живлення.  Вартість ремонту та запчастин дорівнює вартості обладнання</w:t>
            </w:r>
          </w:p>
        </w:tc>
        <w:tc>
          <w:tcPr>
            <w:tcW w:w="1894" w:type="dxa"/>
            <w:vAlign w:val="center"/>
          </w:tcPr>
          <w:p w14:paraId="1C6E242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31.01.2024</w:t>
            </w:r>
          </w:p>
        </w:tc>
      </w:tr>
      <w:tr w:rsidR="00E42F45" w14:paraId="0C98F390" w14:textId="77777777" w:rsidTr="0098632E">
        <w:trPr>
          <w:trHeight w:val="1240"/>
          <w:jc w:val="center"/>
        </w:trPr>
        <w:tc>
          <w:tcPr>
            <w:tcW w:w="929" w:type="dxa"/>
            <w:vAlign w:val="center"/>
          </w:tcPr>
          <w:p w14:paraId="52A945F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13.7</w:t>
            </w:r>
          </w:p>
        </w:tc>
        <w:tc>
          <w:tcPr>
            <w:tcW w:w="3880" w:type="dxa"/>
            <w:vAlign w:val="center"/>
          </w:tcPr>
          <w:p w14:paraId="42EE827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Цифрова відеокамера Panasonic AJ-D410AE</w:t>
            </w:r>
          </w:p>
        </w:tc>
        <w:tc>
          <w:tcPr>
            <w:tcW w:w="2008" w:type="dxa"/>
            <w:vAlign w:val="center"/>
          </w:tcPr>
          <w:p w14:paraId="5310696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10148-3112</w:t>
            </w:r>
          </w:p>
        </w:tc>
        <w:tc>
          <w:tcPr>
            <w:tcW w:w="1364" w:type="dxa"/>
            <w:vAlign w:val="center"/>
          </w:tcPr>
          <w:p w14:paraId="37A92BA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2009</w:t>
            </w:r>
          </w:p>
        </w:tc>
        <w:tc>
          <w:tcPr>
            <w:tcW w:w="6131" w:type="dxa"/>
            <w:vAlign w:val="center"/>
          </w:tcPr>
          <w:p w14:paraId="6FFD64B6"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Виведена з ладу плата та живлення. Пошкоджений об’єктив. Вартість ремонту та запчастин дорівнює вартості обладнання.</w:t>
            </w:r>
          </w:p>
        </w:tc>
        <w:tc>
          <w:tcPr>
            <w:tcW w:w="1894" w:type="dxa"/>
            <w:vAlign w:val="center"/>
          </w:tcPr>
          <w:p w14:paraId="670D844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1CAFC65C" w14:textId="77777777" w:rsidTr="0098632E">
        <w:trPr>
          <w:trHeight w:val="1240"/>
          <w:jc w:val="center"/>
        </w:trPr>
        <w:tc>
          <w:tcPr>
            <w:tcW w:w="929" w:type="dxa"/>
            <w:vAlign w:val="center"/>
          </w:tcPr>
          <w:p w14:paraId="62C4854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13.7</w:t>
            </w:r>
          </w:p>
        </w:tc>
        <w:tc>
          <w:tcPr>
            <w:tcW w:w="3880" w:type="dxa"/>
            <w:vAlign w:val="center"/>
          </w:tcPr>
          <w:p w14:paraId="28399D7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Копіювальний апарат </w:t>
            </w:r>
            <w:r>
              <w:rPr>
                <w:rFonts w:ascii="Times New Roman" w:hAnsi="Times New Roman" w:cs="Times New Roman"/>
                <w:sz w:val="28"/>
                <w:szCs w:val="28"/>
              </w:rPr>
              <w:br/>
              <w:t>Xerox Work Centre 7830</w:t>
            </w:r>
          </w:p>
        </w:tc>
        <w:tc>
          <w:tcPr>
            <w:tcW w:w="2008" w:type="dxa"/>
            <w:vAlign w:val="center"/>
          </w:tcPr>
          <w:p w14:paraId="455B435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10146-1106</w:t>
            </w:r>
          </w:p>
        </w:tc>
        <w:tc>
          <w:tcPr>
            <w:tcW w:w="1364" w:type="dxa"/>
            <w:vAlign w:val="center"/>
          </w:tcPr>
          <w:p w14:paraId="59340BC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2016</w:t>
            </w:r>
          </w:p>
        </w:tc>
        <w:tc>
          <w:tcPr>
            <w:tcW w:w="6131" w:type="dxa"/>
            <w:vAlign w:val="center"/>
          </w:tcPr>
          <w:p w14:paraId="3CB54FC0"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Вихід з ладу вузла термозакріплення. Несправна головна плата та плата форматера. Вартість ремонту та запчастин дорівнює вартості обладнання.</w:t>
            </w:r>
          </w:p>
        </w:tc>
        <w:tc>
          <w:tcPr>
            <w:tcW w:w="1894" w:type="dxa"/>
            <w:vAlign w:val="center"/>
          </w:tcPr>
          <w:p w14:paraId="12C14CE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1B39E4C2" w14:textId="77777777" w:rsidTr="0098632E">
        <w:trPr>
          <w:trHeight w:val="1240"/>
          <w:jc w:val="center"/>
        </w:trPr>
        <w:tc>
          <w:tcPr>
            <w:tcW w:w="929" w:type="dxa"/>
            <w:vAlign w:val="center"/>
          </w:tcPr>
          <w:p w14:paraId="1E5970B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13.8</w:t>
            </w:r>
          </w:p>
        </w:tc>
        <w:tc>
          <w:tcPr>
            <w:tcW w:w="3880" w:type="dxa"/>
            <w:vAlign w:val="center"/>
          </w:tcPr>
          <w:p w14:paraId="6847012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Стаціонарна система звукопідсилення </w:t>
            </w:r>
          </w:p>
        </w:tc>
        <w:tc>
          <w:tcPr>
            <w:tcW w:w="2008" w:type="dxa"/>
            <w:vAlign w:val="center"/>
          </w:tcPr>
          <w:p w14:paraId="07038CE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10148-0889</w:t>
            </w:r>
          </w:p>
        </w:tc>
        <w:tc>
          <w:tcPr>
            <w:tcW w:w="1364" w:type="dxa"/>
            <w:vAlign w:val="center"/>
          </w:tcPr>
          <w:p w14:paraId="2E4271E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2000</w:t>
            </w:r>
          </w:p>
        </w:tc>
        <w:tc>
          <w:tcPr>
            <w:tcW w:w="6131" w:type="dxa"/>
            <w:vAlign w:val="center"/>
          </w:tcPr>
          <w:p w14:paraId="4618BD4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Знаходиться в неробочому стані, ремонт або відновлення техніки провести неможливо, оскільки елементна база, використана при її виготовленні, моральна та фізична застаріла.</w:t>
            </w:r>
          </w:p>
        </w:tc>
        <w:tc>
          <w:tcPr>
            <w:tcW w:w="1894" w:type="dxa"/>
            <w:vAlign w:val="center"/>
          </w:tcPr>
          <w:p w14:paraId="3E2136A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7A66FFC0" w14:textId="77777777" w:rsidTr="0098632E">
        <w:trPr>
          <w:trHeight w:val="1240"/>
          <w:jc w:val="center"/>
        </w:trPr>
        <w:tc>
          <w:tcPr>
            <w:tcW w:w="929" w:type="dxa"/>
            <w:vAlign w:val="center"/>
          </w:tcPr>
          <w:p w14:paraId="17099C4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13.9</w:t>
            </w:r>
          </w:p>
        </w:tc>
        <w:tc>
          <w:tcPr>
            <w:tcW w:w="3880" w:type="dxa"/>
            <w:vAlign w:val="center"/>
          </w:tcPr>
          <w:p w14:paraId="66BD134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В/камера формата високої чіткості HDV SONY HVR-Z7</w:t>
            </w:r>
          </w:p>
        </w:tc>
        <w:tc>
          <w:tcPr>
            <w:tcW w:w="2008" w:type="dxa"/>
            <w:vAlign w:val="center"/>
          </w:tcPr>
          <w:p w14:paraId="7E9A640F" w14:textId="77777777" w:rsidR="00E42F45" w:rsidRDefault="00000000">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10148-3293</w:t>
            </w:r>
          </w:p>
        </w:tc>
        <w:tc>
          <w:tcPr>
            <w:tcW w:w="1364" w:type="dxa"/>
            <w:vAlign w:val="center"/>
          </w:tcPr>
          <w:p w14:paraId="03FD93A8" w14:textId="77777777" w:rsidR="00E42F45" w:rsidRDefault="00000000">
            <w:pPr>
              <w:widowControl w:val="0"/>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2011</w:t>
            </w:r>
          </w:p>
        </w:tc>
        <w:tc>
          <w:tcPr>
            <w:tcW w:w="6131" w:type="dxa"/>
            <w:vAlign w:val="center"/>
          </w:tcPr>
          <w:p w14:paraId="32163F6A"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Виведена з ладу плата. Пошкоджений об'єкти. Вартість ремонту та запчастин дорівнює вартості обладнання.</w:t>
            </w:r>
          </w:p>
        </w:tc>
        <w:tc>
          <w:tcPr>
            <w:tcW w:w="1894" w:type="dxa"/>
            <w:vAlign w:val="center"/>
          </w:tcPr>
          <w:p w14:paraId="1A8BA5D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62D02BCE" w14:textId="77777777" w:rsidTr="0098632E">
        <w:trPr>
          <w:trHeight w:val="1240"/>
          <w:jc w:val="center"/>
        </w:trPr>
        <w:tc>
          <w:tcPr>
            <w:tcW w:w="929" w:type="dxa"/>
            <w:vAlign w:val="center"/>
          </w:tcPr>
          <w:p w14:paraId="5C6E5B3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13.10</w:t>
            </w:r>
          </w:p>
        </w:tc>
        <w:tc>
          <w:tcPr>
            <w:tcW w:w="3880" w:type="dxa"/>
            <w:vAlign w:val="center"/>
          </w:tcPr>
          <w:p w14:paraId="10AF21F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Стаціонарна відеосистема</w:t>
            </w:r>
          </w:p>
        </w:tc>
        <w:tc>
          <w:tcPr>
            <w:tcW w:w="2008" w:type="dxa"/>
            <w:vAlign w:val="center"/>
          </w:tcPr>
          <w:p w14:paraId="29B7667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10148-0892</w:t>
            </w:r>
          </w:p>
        </w:tc>
        <w:tc>
          <w:tcPr>
            <w:tcW w:w="1364" w:type="dxa"/>
            <w:vAlign w:val="center"/>
          </w:tcPr>
          <w:p w14:paraId="7BE2934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2001</w:t>
            </w:r>
          </w:p>
        </w:tc>
        <w:tc>
          <w:tcPr>
            <w:tcW w:w="6131" w:type="dxa"/>
            <w:vAlign w:val="center"/>
          </w:tcPr>
          <w:p w14:paraId="3E383560"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Знаходиться в неробочому стані, ремонт або відновлення техніки провести неможливо, оскільки елементна база, використана при її виготовлені, морально та фізично застаріла.</w:t>
            </w:r>
          </w:p>
        </w:tc>
        <w:tc>
          <w:tcPr>
            <w:tcW w:w="1894" w:type="dxa"/>
            <w:vAlign w:val="center"/>
          </w:tcPr>
          <w:p w14:paraId="0D647B0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14DEEBCC" w14:textId="77777777" w:rsidTr="0098632E">
        <w:trPr>
          <w:trHeight w:val="1240"/>
          <w:jc w:val="center"/>
        </w:trPr>
        <w:tc>
          <w:tcPr>
            <w:tcW w:w="929" w:type="dxa"/>
            <w:vAlign w:val="center"/>
          </w:tcPr>
          <w:p w14:paraId="672D787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13.11</w:t>
            </w:r>
          </w:p>
        </w:tc>
        <w:tc>
          <w:tcPr>
            <w:tcW w:w="3880" w:type="dxa"/>
            <w:vAlign w:val="center"/>
          </w:tcPr>
          <w:p w14:paraId="567460E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Касета з документальним фільмом </w:t>
            </w:r>
          </w:p>
        </w:tc>
        <w:tc>
          <w:tcPr>
            <w:tcW w:w="2008" w:type="dxa"/>
            <w:vAlign w:val="center"/>
          </w:tcPr>
          <w:p w14:paraId="49B548D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12110-0001</w:t>
            </w:r>
          </w:p>
        </w:tc>
        <w:tc>
          <w:tcPr>
            <w:tcW w:w="1364" w:type="dxa"/>
            <w:vAlign w:val="center"/>
          </w:tcPr>
          <w:p w14:paraId="4AB752C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2005</w:t>
            </w:r>
          </w:p>
        </w:tc>
        <w:tc>
          <w:tcPr>
            <w:tcW w:w="6131" w:type="dxa"/>
            <w:vAlign w:val="center"/>
          </w:tcPr>
          <w:p w14:paraId="75EFF98E"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Порвалась відеоплівка, вийшли з ладу осі механізму.</w:t>
            </w:r>
          </w:p>
        </w:tc>
        <w:tc>
          <w:tcPr>
            <w:tcW w:w="1894" w:type="dxa"/>
            <w:vAlign w:val="center"/>
          </w:tcPr>
          <w:p w14:paraId="1245A53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27.02.2024</w:t>
            </w:r>
          </w:p>
        </w:tc>
      </w:tr>
      <w:tr w:rsidR="00E42F45" w14:paraId="0407C07D" w14:textId="77777777" w:rsidTr="0098632E">
        <w:trPr>
          <w:trHeight w:val="724"/>
          <w:jc w:val="center"/>
        </w:trPr>
        <w:tc>
          <w:tcPr>
            <w:tcW w:w="929" w:type="dxa"/>
            <w:vAlign w:val="center"/>
          </w:tcPr>
          <w:p w14:paraId="47089DEB"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14</w:t>
            </w:r>
          </w:p>
        </w:tc>
        <w:tc>
          <w:tcPr>
            <w:tcW w:w="3880" w:type="dxa"/>
            <w:vAlign w:val="center"/>
          </w:tcPr>
          <w:p w14:paraId="309F0BAD"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608FB460"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Державне підприємство «ІНФОТЕХ»</w:t>
            </w:r>
          </w:p>
        </w:tc>
      </w:tr>
      <w:tr w:rsidR="00E42F45" w14:paraId="059F3CD1" w14:textId="77777777" w:rsidTr="0098632E">
        <w:trPr>
          <w:trHeight w:val="2639"/>
          <w:jc w:val="center"/>
        </w:trPr>
        <w:tc>
          <w:tcPr>
            <w:tcW w:w="929" w:type="dxa"/>
            <w:vAlign w:val="center"/>
          </w:tcPr>
          <w:p w14:paraId="3870275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14.1</w:t>
            </w:r>
          </w:p>
        </w:tc>
        <w:tc>
          <w:tcPr>
            <w:tcW w:w="3880" w:type="dxa"/>
            <w:vAlign w:val="center"/>
          </w:tcPr>
          <w:p w14:paraId="41A1393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Станок «Зетаконд» 703</w:t>
            </w:r>
          </w:p>
        </w:tc>
        <w:tc>
          <w:tcPr>
            <w:tcW w:w="2008" w:type="dxa"/>
            <w:vAlign w:val="center"/>
          </w:tcPr>
          <w:p w14:paraId="611C2D2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104-DP53</w:t>
            </w:r>
          </w:p>
        </w:tc>
        <w:tc>
          <w:tcPr>
            <w:tcW w:w="1364" w:type="dxa"/>
            <w:vAlign w:val="center"/>
          </w:tcPr>
          <w:p w14:paraId="10FCD98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1982</w:t>
            </w:r>
          </w:p>
        </w:tc>
        <w:tc>
          <w:tcPr>
            <w:tcW w:w="6131" w:type="dxa"/>
            <w:vAlign w:val="center"/>
          </w:tcPr>
          <w:p w14:paraId="4F32F2C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vAlign w:val="center"/>
          </w:tcPr>
          <w:p w14:paraId="7097AB9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29.01.2021</w:t>
            </w:r>
          </w:p>
        </w:tc>
      </w:tr>
      <w:tr w:rsidR="00E42F45" w14:paraId="6CAE3C9A" w14:textId="77777777" w:rsidTr="0098632E">
        <w:trPr>
          <w:trHeight w:val="2785"/>
          <w:jc w:val="center"/>
        </w:trPr>
        <w:tc>
          <w:tcPr>
            <w:tcW w:w="929" w:type="dxa"/>
            <w:vAlign w:val="center"/>
          </w:tcPr>
          <w:p w14:paraId="48ECD9C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14.2</w:t>
            </w:r>
          </w:p>
        </w:tc>
        <w:tc>
          <w:tcPr>
            <w:tcW w:w="3880" w:type="dxa"/>
            <w:vAlign w:val="center"/>
          </w:tcPr>
          <w:p w14:paraId="416C1F9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Маш. Офсетно РО-62</w:t>
            </w:r>
          </w:p>
        </w:tc>
        <w:tc>
          <w:tcPr>
            <w:tcW w:w="2008" w:type="dxa"/>
            <w:vAlign w:val="center"/>
          </w:tcPr>
          <w:p w14:paraId="6C05557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104-DP73</w:t>
            </w:r>
          </w:p>
        </w:tc>
        <w:tc>
          <w:tcPr>
            <w:tcW w:w="1364" w:type="dxa"/>
            <w:vAlign w:val="center"/>
          </w:tcPr>
          <w:p w14:paraId="23ADE15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1985</w:t>
            </w:r>
          </w:p>
        </w:tc>
        <w:tc>
          <w:tcPr>
            <w:tcW w:w="6131" w:type="dxa"/>
            <w:vAlign w:val="center"/>
          </w:tcPr>
          <w:p w14:paraId="60A9EE1D"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Пристрій ремонту не підлягає. Потребують заміни несправні деталі. комплектуючі є застарілого типу. Вузли та деталі, придатні для подальшого використання відсутні. Вийшли з ладу складові обладнання внаслідок спрацювання експлуатаційного ресурсу та інтенсивної експлуатації.</w:t>
            </w:r>
          </w:p>
        </w:tc>
        <w:tc>
          <w:tcPr>
            <w:tcW w:w="1894" w:type="dxa"/>
            <w:vAlign w:val="center"/>
          </w:tcPr>
          <w:p w14:paraId="7220BAE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29.01.2021</w:t>
            </w:r>
          </w:p>
        </w:tc>
      </w:tr>
      <w:tr w:rsidR="00E42F45" w14:paraId="1EBE7DBD" w14:textId="77777777" w:rsidTr="0098632E">
        <w:trPr>
          <w:trHeight w:val="725"/>
          <w:jc w:val="center"/>
        </w:trPr>
        <w:tc>
          <w:tcPr>
            <w:tcW w:w="929" w:type="dxa"/>
            <w:vAlign w:val="center"/>
          </w:tcPr>
          <w:p w14:paraId="7357CB51"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15</w:t>
            </w:r>
          </w:p>
        </w:tc>
        <w:tc>
          <w:tcPr>
            <w:tcW w:w="3880" w:type="dxa"/>
            <w:vAlign w:val="center"/>
          </w:tcPr>
          <w:p w14:paraId="0A1FC782"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00357B0E"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Казенне наукове-виробниче підприємство «Форт» МВС України</w:t>
            </w:r>
          </w:p>
        </w:tc>
      </w:tr>
      <w:tr w:rsidR="00E42F45" w14:paraId="4D2A852D" w14:textId="77777777" w:rsidTr="0098632E">
        <w:trPr>
          <w:trHeight w:val="1890"/>
          <w:jc w:val="center"/>
        </w:trPr>
        <w:tc>
          <w:tcPr>
            <w:tcW w:w="929" w:type="dxa"/>
            <w:vAlign w:val="center"/>
          </w:tcPr>
          <w:p w14:paraId="0CEA713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15.1</w:t>
            </w:r>
          </w:p>
        </w:tc>
        <w:tc>
          <w:tcPr>
            <w:tcW w:w="3880" w:type="dxa"/>
            <w:vAlign w:val="center"/>
          </w:tcPr>
          <w:p w14:paraId="1906EE2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Модуль гнучкий виробничий спеціальний моделі ИР-200</w:t>
            </w:r>
          </w:p>
        </w:tc>
        <w:tc>
          <w:tcPr>
            <w:tcW w:w="2008" w:type="dxa"/>
            <w:vAlign w:val="center"/>
          </w:tcPr>
          <w:p w14:paraId="39EB227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4100544</w:t>
            </w:r>
          </w:p>
        </w:tc>
        <w:tc>
          <w:tcPr>
            <w:tcW w:w="1364" w:type="dxa"/>
            <w:vAlign w:val="center"/>
          </w:tcPr>
          <w:p w14:paraId="0C95EFF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1988</w:t>
            </w:r>
          </w:p>
        </w:tc>
        <w:tc>
          <w:tcPr>
            <w:tcW w:w="6131" w:type="dxa"/>
            <w:vAlign w:val="center"/>
          </w:tcPr>
          <w:p w14:paraId="6F23D488"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несправний датчик орієнтації столу, система зміни палет, гідравлічна система, система ЧПК.</w:t>
            </w:r>
          </w:p>
        </w:tc>
        <w:tc>
          <w:tcPr>
            <w:tcW w:w="1894" w:type="dxa"/>
            <w:vAlign w:val="center"/>
          </w:tcPr>
          <w:p w14:paraId="4C9D64A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31.10.2023</w:t>
            </w:r>
          </w:p>
        </w:tc>
      </w:tr>
      <w:tr w:rsidR="00E42F45" w14:paraId="020AB140" w14:textId="77777777" w:rsidTr="0098632E">
        <w:trPr>
          <w:trHeight w:val="2010"/>
          <w:jc w:val="center"/>
        </w:trPr>
        <w:tc>
          <w:tcPr>
            <w:tcW w:w="929" w:type="dxa"/>
            <w:vAlign w:val="center"/>
          </w:tcPr>
          <w:p w14:paraId="7343DF85"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15.2</w:t>
            </w:r>
          </w:p>
        </w:tc>
        <w:tc>
          <w:tcPr>
            <w:tcW w:w="3880" w:type="dxa"/>
            <w:vAlign w:val="center"/>
          </w:tcPr>
          <w:p w14:paraId="0DE2D8C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Станок фрезерний з ЧПУ моделі F2V CNC</w:t>
            </w:r>
          </w:p>
        </w:tc>
        <w:tc>
          <w:tcPr>
            <w:tcW w:w="2008" w:type="dxa"/>
            <w:vAlign w:val="center"/>
          </w:tcPr>
          <w:p w14:paraId="52A3B7B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4100617</w:t>
            </w:r>
          </w:p>
        </w:tc>
        <w:tc>
          <w:tcPr>
            <w:tcW w:w="1364" w:type="dxa"/>
            <w:vAlign w:val="center"/>
          </w:tcPr>
          <w:p w14:paraId="6DCCBF40"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1997</w:t>
            </w:r>
          </w:p>
        </w:tc>
        <w:tc>
          <w:tcPr>
            <w:tcW w:w="6131" w:type="dxa"/>
            <w:vAlign w:val="center"/>
          </w:tcPr>
          <w:p w14:paraId="62D1E22C"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94" w:type="dxa"/>
            <w:vAlign w:val="center"/>
          </w:tcPr>
          <w:p w14:paraId="28DEAFCA"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31.10.2023</w:t>
            </w:r>
          </w:p>
        </w:tc>
      </w:tr>
      <w:tr w:rsidR="00E42F45" w14:paraId="3907CFBC" w14:textId="77777777" w:rsidTr="0098632E">
        <w:trPr>
          <w:trHeight w:val="2042"/>
          <w:jc w:val="center"/>
        </w:trPr>
        <w:tc>
          <w:tcPr>
            <w:tcW w:w="929" w:type="dxa"/>
            <w:vAlign w:val="center"/>
          </w:tcPr>
          <w:p w14:paraId="6F3EA80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lastRenderedPageBreak/>
              <w:t>15.3</w:t>
            </w:r>
          </w:p>
        </w:tc>
        <w:tc>
          <w:tcPr>
            <w:tcW w:w="3880" w:type="dxa"/>
            <w:vAlign w:val="center"/>
          </w:tcPr>
          <w:p w14:paraId="51C2300D"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 xml:space="preserve">Станок фрезерний з ЧПУ </w:t>
            </w:r>
            <w:r>
              <w:rPr>
                <w:rFonts w:ascii="Times New Roman" w:hAnsi="Times New Roman" w:cs="Times New Roman"/>
                <w:sz w:val="28"/>
                <w:szCs w:val="28"/>
                <w:lang w:val="ru-RU"/>
              </w:rPr>
              <w:br/>
              <w:t>моделі F2V CNC</w:t>
            </w:r>
          </w:p>
        </w:tc>
        <w:tc>
          <w:tcPr>
            <w:tcW w:w="2008" w:type="dxa"/>
            <w:vAlign w:val="center"/>
          </w:tcPr>
          <w:p w14:paraId="21BA4328"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4100618</w:t>
            </w:r>
          </w:p>
        </w:tc>
        <w:tc>
          <w:tcPr>
            <w:tcW w:w="1364" w:type="dxa"/>
            <w:vAlign w:val="center"/>
          </w:tcPr>
          <w:p w14:paraId="01AF269C"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1997</w:t>
            </w:r>
          </w:p>
        </w:tc>
        <w:tc>
          <w:tcPr>
            <w:tcW w:w="6131" w:type="dxa"/>
            <w:vAlign w:val="center"/>
          </w:tcPr>
          <w:p w14:paraId="3768D05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Верстат знаходиться в несправному та не  працездатному стані, фізично зношений та морально застарілий. На верстаті несправні двигуни та енкодери по вісям, суттєво зношені напрямні, потребують заміни підшипники та ШВП, стійка ЧПК несправна.</w:t>
            </w:r>
          </w:p>
        </w:tc>
        <w:tc>
          <w:tcPr>
            <w:tcW w:w="1894" w:type="dxa"/>
            <w:vAlign w:val="center"/>
          </w:tcPr>
          <w:p w14:paraId="4B0C7C42"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31.10.2023</w:t>
            </w:r>
          </w:p>
        </w:tc>
      </w:tr>
      <w:tr w:rsidR="00E42F45" w14:paraId="18259F7B" w14:textId="77777777" w:rsidTr="0098632E">
        <w:trPr>
          <w:trHeight w:val="392"/>
          <w:jc w:val="center"/>
        </w:trPr>
        <w:tc>
          <w:tcPr>
            <w:tcW w:w="929" w:type="dxa"/>
            <w:vAlign w:val="center"/>
          </w:tcPr>
          <w:p w14:paraId="7BB93E61"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16</w:t>
            </w:r>
          </w:p>
        </w:tc>
        <w:tc>
          <w:tcPr>
            <w:tcW w:w="3880" w:type="dxa"/>
            <w:vAlign w:val="center"/>
          </w:tcPr>
          <w:p w14:paraId="0C9AFC56"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Балансоутримувач</w:t>
            </w:r>
          </w:p>
        </w:tc>
        <w:tc>
          <w:tcPr>
            <w:tcW w:w="11397" w:type="dxa"/>
            <w:gridSpan w:val="4"/>
            <w:vAlign w:val="center"/>
          </w:tcPr>
          <w:p w14:paraId="30CF34B4" w14:textId="77777777" w:rsidR="00E42F45" w:rsidRDefault="00000000">
            <w:pPr>
              <w:pStyle w:val="caption111"/>
              <w:widowControl w:val="0"/>
              <w:spacing w:line="240" w:lineRule="auto"/>
              <w:jc w:val="center"/>
              <w:rPr>
                <w:rFonts w:ascii="Times New Roman" w:hAnsi="Times New Roman" w:cs="Times New Roman"/>
                <w:b/>
                <w:bCs/>
                <w:i w:val="0"/>
                <w:iCs w:val="0"/>
                <w:sz w:val="28"/>
                <w:szCs w:val="28"/>
              </w:rPr>
            </w:pPr>
            <w:r>
              <w:rPr>
                <w:rFonts w:ascii="Times New Roman" w:hAnsi="Times New Roman" w:cs="Times New Roman"/>
                <w:b/>
                <w:bCs/>
                <w:i w:val="0"/>
                <w:iCs w:val="0"/>
                <w:sz w:val="28"/>
                <w:szCs w:val="28"/>
                <w:lang w:val="ru-RU"/>
              </w:rPr>
              <w:t xml:space="preserve">Державне підприємство </w:t>
            </w:r>
            <w:r>
              <w:rPr>
                <w:rFonts w:ascii="Times New Roman" w:hAnsi="Times New Roman" w:cs="Times New Roman"/>
                <w:b/>
                <w:bCs/>
                <w:i w:val="0"/>
                <w:iCs w:val="0"/>
                <w:sz w:val="28"/>
                <w:szCs w:val="28"/>
                <w:lang w:val="ru-RU"/>
              </w:rPr>
              <w:br/>
              <w:t>«Українське авіаційно-транспортне підприємство «Хорів-АВІА»</w:t>
            </w:r>
          </w:p>
        </w:tc>
      </w:tr>
      <w:tr w:rsidR="00E42F45" w14:paraId="083D03B8" w14:textId="77777777" w:rsidTr="0098632E">
        <w:trPr>
          <w:trHeight w:val="1996"/>
          <w:jc w:val="center"/>
        </w:trPr>
        <w:tc>
          <w:tcPr>
            <w:tcW w:w="929" w:type="dxa"/>
            <w:vAlign w:val="center"/>
          </w:tcPr>
          <w:p w14:paraId="7663ED1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16.1</w:t>
            </w:r>
          </w:p>
        </w:tc>
        <w:tc>
          <w:tcPr>
            <w:tcW w:w="3880" w:type="dxa"/>
            <w:vAlign w:val="center"/>
          </w:tcPr>
          <w:p w14:paraId="728BD9D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Камера холодильна</w:t>
            </w:r>
          </w:p>
        </w:tc>
        <w:tc>
          <w:tcPr>
            <w:tcW w:w="2008" w:type="dxa"/>
            <w:vAlign w:val="center"/>
          </w:tcPr>
          <w:p w14:paraId="7A319779"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10636653</w:t>
            </w:r>
          </w:p>
        </w:tc>
        <w:tc>
          <w:tcPr>
            <w:tcW w:w="1364" w:type="dxa"/>
            <w:vAlign w:val="center"/>
          </w:tcPr>
          <w:p w14:paraId="5B8CF2F8" w14:textId="77777777" w:rsidR="00E42F45" w:rsidRDefault="00E42F45">
            <w:pPr>
              <w:widowControl w:val="0"/>
              <w:spacing w:after="0" w:line="240" w:lineRule="auto"/>
              <w:jc w:val="center"/>
              <w:rPr>
                <w:rFonts w:ascii="Times New Roman" w:hAnsi="Times New Roman" w:cs="Times New Roman"/>
                <w:sz w:val="28"/>
                <w:szCs w:val="28"/>
              </w:rPr>
            </w:pPr>
          </w:p>
        </w:tc>
        <w:tc>
          <w:tcPr>
            <w:tcW w:w="6131" w:type="dxa"/>
            <w:vAlign w:val="center"/>
          </w:tcPr>
          <w:p w14:paraId="4951F13B"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67A035C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28.12.2023</w:t>
            </w:r>
          </w:p>
        </w:tc>
      </w:tr>
      <w:tr w:rsidR="00E42F45" w14:paraId="2DB18F4B" w14:textId="77777777" w:rsidTr="0098632E">
        <w:trPr>
          <w:trHeight w:val="1075"/>
          <w:jc w:val="center"/>
        </w:trPr>
        <w:tc>
          <w:tcPr>
            <w:tcW w:w="929" w:type="dxa"/>
            <w:vAlign w:val="center"/>
          </w:tcPr>
          <w:p w14:paraId="27C46231"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16.2</w:t>
            </w:r>
          </w:p>
        </w:tc>
        <w:tc>
          <w:tcPr>
            <w:tcW w:w="3880" w:type="dxa"/>
            <w:vAlign w:val="center"/>
          </w:tcPr>
          <w:p w14:paraId="33F7BC0E"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Камера холодильна</w:t>
            </w:r>
          </w:p>
        </w:tc>
        <w:tc>
          <w:tcPr>
            <w:tcW w:w="2008" w:type="dxa"/>
            <w:vAlign w:val="center"/>
          </w:tcPr>
          <w:p w14:paraId="41F63F26"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10639654</w:t>
            </w:r>
          </w:p>
        </w:tc>
        <w:tc>
          <w:tcPr>
            <w:tcW w:w="1364" w:type="dxa"/>
            <w:vAlign w:val="center"/>
          </w:tcPr>
          <w:p w14:paraId="1EE17B62" w14:textId="77777777" w:rsidR="00E42F45" w:rsidRDefault="00E42F45">
            <w:pPr>
              <w:widowControl w:val="0"/>
              <w:spacing w:after="0" w:line="240" w:lineRule="auto"/>
              <w:jc w:val="center"/>
              <w:rPr>
                <w:rFonts w:ascii="Times New Roman" w:hAnsi="Times New Roman" w:cs="Times New Roman"/>
                <w:sz w:val="28"/>
                <w:szCs w:val="28"/>
              </w:rPr>
            </w:pPr>
          </w:p>
        </w:tc>
        <w:tc>
          <w:tcPr>
            <w:tcW w:w="6131" w:type="dxa"/>
            <w:vAlign w:val="center"/>
          </w:tcPr>
          <w:p w14:paraId="4B472BA1"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04618ED7"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28.12.2023</w:t>
            </w:r>
          </w:p>
        </w:tc>
      </w:tr>
      <w:tr w:rsidR="00E42F45" w14:paraId="3031668F" w14:textId="77777777" w:rsidTr="0098632E">
        <w:trPr>
          <w:trHeight w:val="1813"/>
          <w:jc w:val="center"/>
        </w:trPr>
        <w:tc>
          <w:tcPr>
            <w:tcW w:w="929" w:type="dxa"/>
            <w:vAlign w:val="center"/>
          </w:tcPr>
          <w:p w14:paraId="0FD30B23"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16.3</w:t>
            </w:r>
          </w:p>
        </w:tc>
        <w:tc>
          <w:tcPr>
            <w:tcW w:w="3880" w:type="dxa"/>
            <w:vAlign w:val="center"/>
          </w:tcPr>
          <w:p w14:paraId="2E5EFDDB"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Камера холодильна</w:t>
            </w:r>
          </w:p>
        </w:tc>
        <w:tc>
          <w:tcPr>
            <w:tcW w:w="2008" w:type="dxa"/>
            <w:vAlign w:val="center"/>
          </w:tcPr>
          <w:p w14:paraId="0D3D809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10639655</w:t>
            </w:r>
          </w:p>
        </w:tc>
        <w:tc>
          <w:tcPr>
            <w:tcW w:w="1364" w:type="dxa"/>
            <w:vAlign w:val="center"/>
          </w:tcPr>
          <w:p w14:paraId="0B7C00DF" w14:textId="77777777" w:rsidR="00E42F45" w:rsidRDefault="00E42F45">
            <w:pPr>
              <w:widowControl w:val="0"/>
              <w:spacing w:after="0" w:line="240" w:lineRule="auto"/>
              <w:jc w:val="center"/>
              <w:rPr>
                <w:rFonts w:ascii="Times New Roman" w:hAnsi="Times New Roman" w:cs="Times New Roman"/>
                <w:sz w:val="28"/>
                <w:szCs w:val="28"/>
              </w:rPr>
            </w:pPr>
          </w:p>
        </w:tc>
        <w:tc>
          <w:tcPr>
            <w:tcW w:w="6131" w:type="dxa"/>
            <w:vAlign w:val="center"/>
          </w:tcPr>
          <w:p w14:paraId="2F3A2BD3" w14:textId="77777777" w:rsidR="00E42F45" w:rsidRDefault="00000000">
            <w:pPr>
              <w:widowControl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ru-RU"/>
              </w:rPr>
              <w:t>Під час обстеження технічного стану холодильної камери встановлено, що вийшли з ладу термостат та плата живлення. Камера холодильна не відповідає сучасним технічним вимогам, морально застаріла.</w:t>
            </w:r>
          </w:p>
        </w:tc>
        <w:tc>
          <w:tcPr>
            <w:tcW w:w="1894" w:type="dxa"/>
            <w:vAlign w:val="center"/>
          </w:tcPr>
          <w:p w14:paraId="65B01C0F" w14:textId="77777777" w:rsidR="00E42F45" w:rsidRDefault="00000000">
            <w:pPr>
              <w:widowControl w:val="0"/>
              <w:spacing w:after="0" w:line="240" w:lineRule="auto"/>
              <w:jc w:val="center"/>
              <w:rPr>
                <w:rFonts w:ascii="Times New Roman" w:hAnsi="Times New Roman" w:cs="Times New Roman"/>
                <w:sz w:val="28"/>
                <w:szCs w:val="28"/>
              </w:rPr>
            </w:pPr>
            <w:r>
              <w:rPr>
                <w:rFonts w:ascii="Times New Roman" w:hAnsi="Times New Roman" w:cs="Times New Roman"/>
                <w:sz w:val="28"/>
                <w:szCs w:val="28"/>
                <w:lang w:val="ru-RU"/>
              </w:rPr>
              <w:t>28.12.2023</w:t>
            </w:r>
          </w:p>
        </w:tc>
      </w:tr>
    </w:tbl>
    <w:p w14:paraId="72384022" w14:textId="77777777" w:rsidR="00E42F45" w:rsidRDefault="00E42F45">
      <w:pPr>
        <w:spacing w:after="0" w:line="240" w:lineRule="auto"/>
        <w:jc w:val="center"/>
        <w:rPr>
          <w:rFonts w:ascii="Times New Roman" w:hAnsi="Times New Roman" w:cs="Times New Roman"/>
          <w:sz w:val="28"/>
          <w:szCs w:val="28"/>
        </w:rPr>
      </w:pPr>
    </w:p>
    <w:sectPr w:rsidR="00E42F45">
      <w:pgSz w:w="16838" w:h="11906" w:orient="landscape"/>
      <w:pgMar w:top="142" w:right="850" w:bottom="283" w:left="850" w:header="0" w:footer="0" w:gutter="0"/>
      <w:cols w:space="720"/>
      <w:formProt w:val="0"/>
      <w:docGrid w:linePitch="360" w:charSpace="163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rlito">
    <w:altName w:val="Calibri"/>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F45"/>
    <w:rsid w:val="0098632E"/>
    <w:rsid w:val="00E42F45"/>
  </w:rsids>
  <m:mathPr>
    <m:mathFont m:val="Cambria Math"/>
    <m:brkBin m:val="before"/>
    <m:brkBinSub m:val="--"/>
    <m:smallFrac m:val="0"/>
    <m:dispDef/>
    <m:lMargin m:val="0"/>
    <m:rMargin m:val="0"/>
    <m:defJc m:val="centerGroup"/>
    <m:wrapIndent m:val="1440"/>
    <m:intLim m:val="subSup"/>
    <m:naryLim m:val="undOvr"/>
  </m:mathPr>
  <w:themeFontLang w:val="en-US"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70DE5"/>
  <w15:docId w15:val="{EE0CEBAF-CB17-4E5A-8F71-2F1038393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heme="minorEastAsia" w:hAnsi="Calibri" w:cs="Arial"/>
      <w:lang w:eastAsia="ru-RU"/>
      <w14:ligatures w14:val="none"/>
    </w:rPr>
  </w:style>
  <w:style w:type="paragraph" w:styleId="1">
    <w:name w:val="heading 1"/>
    <w:basedOn w:val="a"/>
    <w:next w:val="a"/>
    <w:link w:val="10"/>
    <w:uiPriority w:val="9"/>
    <w:qFormat/>
    <w:pPr>
      <w:keepNext/>
      <w:keepLines/>
      <w:spacing w:before="480"/>
      <w:outlineLvl w:val="0"/>
    </w:pPr>
    <w:rPr>
      <w:rFonts w:ascii="Arial" w:eastAsia="Arial" w:hAnsi="Arial"/>
      <w:sz w:val="40"/>
      <w:szCs w:val="40"/>
    </w:rPr>
  </w:style>
  <w:style w:type="paragraph" w:styleId="2">
    <w:name w:val="heading 2"/>
    <w:basedOn w:val="a"/>
    <w:next w:val="a"/>
    <w:link w:val="20"/>
    <w:uiPriority w:val="9"/>
    <w:unhideWhenUsed/>
    <w:qFormat/>
    <w:pPr>
      <w:keepNext/>
      <w:keepLines/>
      <w:spacing w:before="360"/>
      <w:outlineLvl w:val="1"/>
    </w:pPr>
    <w:rPr>
      <w:rFonts w:ascii="Arial" w:eastAsia="Arial" w:hAnsi="Arial"/>
      <w:sz w:val="34"/>
    </w:rPr>
  </w:style>
  <w:style w:type="paragraph" w:styleId="3">
    <w:name w:val="heading 3"/>
    <w:basedOn w:val="a"/>
    <w:next w:val="a"/>
    <w:link w:val="30"/>
    <w:uiPriority w:val="9"/>
    <w:unhideWhenUsed/>
    <w:qFormat/>
    <w:pPr>
      <w:keepNext/>
      <w:keepLines/>
      <w:spacing w:before="320"/>
      <w:outlineLvl w:val="2"/>
    </w:pPr>
    <w:rPr>
      <w:rFonts w:ascii="Arial" w:eastAsia="Arial" w:hAnsi="Arial"/>
      <w:sz w:val="30"/>
      <w:szCs w:val="30"/>
    </w:rPr>
  </w:style>
  <w:style w:type="paragraph" w:styleId="4">
    <w:name w:val="heading 4"/>
    <w:basedOn w:val="a"/>
    <w:next w:val="a"/>
    <w:link w:val="40"/>
    <w:uiPriority w:val="9"/>
    <w:unhideWhenUsed/>
    <w:qFormat/>
    <w:pPr>
      <w:keepNext/>
      <w:keepLines/>
      <w:spacing w:before="320"/>
      <w:outlineLvl w:val="3"/>
    </w:pPr>
    <w:rPr>
      <w:rFonts w:ascii="Arial" w:eastAsia="Arial" w:hAnsi="Arial"/>
      <w:b/>
      <w:bCs/>
      <w:sz w:val="26"/>
      <w:szCs w:val="26"/>
    </w:rPr>
  </w:style>
  <w:style w:type="paragraph" w:styleId="5">
    <w:name w:val="heading 5"/>
    <w:basedOn w:val="a"/>
    <w:next w:val="a"/>
    <w:link w:val="50"/>
    <w:uiPriority w:val="9"/>
    <w:unhideWhenUsed/>
    <w:qFormat/>
    <w:pPr>
      <w:keepNext/>
      <w:keepLines/>
      <w:spacing w:before="320"/>
      <w:outlineLvl w:val="4"/>
    </w:pPr>
    <w:rPr>
      <w:rFonts w:ascii="Arial" w:eastAsia="Arial" w:hAnsi="Arial"/>
      <w:b/>
      <w:bCs/>
      <w:sz w:val="24"/>
      <w:szCs w:val="24"/>
    </w:rPr>
  </w:style>
  <w:style w:type="paragraph" w:styleId="6">
    <w:name w:val="heading 6"/>
    <w:basedOn w:val="a"/>
    <w:next w:val="a"/>
    <w:link w:val="60"/>
    <w:uiPriority w:val="9"/>
    <w:unhideWhenUsed/>
    <w:qFormat/>
    <w:pPr>
      <w:keepNext/>
      <w:keepLines/>
      <w:spacing w:before="320"/>
      <w:outlineLvl w:val="5"/>
    </w:pPr>
    <w:rPr>
      <w:rFonts w:ascii="Arial" w:eastAsia="Arial" w:hAnsi="Arial"/>
      <w:b/>
      <w:bCs/>
    </w:rPr>
  </w:style>
  <w:style w:type="paragraph" w:styleId="7">
    <w:name w:val="heading 7"/>
    <w:basedOn w:val="a"/>
    <w:next w:val="a"/>
    <w:link w:val="70"/>
    <w:uiPriority w:val="9"/>
    <w:unhideWhenUsed/>
    <w:qFormat/>
    <w:pPr>
      <w:keepNext/>
      <w:keepLines/>
      <w:spacing w:before="320"/>
      <w:outlineLvl w:val="6"/>
    </w:pPr>
    <w:rPr>
      <w:rFonts w:ascii="Arial" w:eastAsia="Arial" w:hAnsi="Arial"/>
      <w:b/>
      <w:bCs/>
      <w:i/>
      <w:iCs/>
    </w:rPr>
  </w:style>
  <w:style w:type="paragraph" w:styleId="8">
    <w:name w:val="heading 8"/>
    <w:basedOn w:val="a"/>
    <w:next w:val="a"/>
    <w:link w:val="80"/>
    <w:uiPriority w:val="9"/>
    <w:unhideWhenUsed/>
    <w:qFormat/>
    <w:pPr>
      <w:keepNext/>
      <w:keepLines/>
      <w:spacing w:before="320"/>
      <w:outlineLvl w:val="7"/>
    </w:pPr>
    <w:rPr>
      <w:rFonts w:ascii="Arial" w:eastAsia="Arial" w:hAnsi="Arial"/>
      <w:i/>
      <w:iCs/>
    </w:rPr>
  </w:style>
  <w:style w:type="paragraph" w:styleId="9">
    <w:name w:val="heading 9"/>
    <w:basedOn w:val="a"/>
    <w:next w:val="a"/>
    <w:link w:val="90"/>
    <w:uiPriority w:val="9"/>
    <w:unhideWhenUsed/>
    <w:qFormat/>
    <w:pPr>
      <w:keepNext/>
      <w:keepLines/>
      <w:spacing w:before="320"/>
      <w:outlineLvl w:val="8"/>
    </w:pPr>
    <w:rPr>
      <w:rFonts w:ascii="Arial" w:eastAsia="Arial" w:hAnsi="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
    <w:qFormat/>
    <w:rPr>
      <w:rFonts w:ascii="Arial" w:eastAsia="Arial" w:hAnsi="Arial" w:cs="Arial"/>
      <w:sz w:val="40"/>
      <w:szCs w:val="40"/>
    </w:rPr>
  </w:style>
  <w:style w:type="character" w:customStyle="1" w:styleId="Heading2Char">
    <w:name w:val="Heading 2 Char"/>
    <w:basedOn w:val="a0"/>
    <w:uiPriority w:val="9"/>
    <w:qFormat/>
    <w:rPr>
      <w:rFonts w:ascii="Arial" w:eastAsia="Arial" w:hAnsi="Arial" w:cs="Arial"/>
      <w:sz w:val="34"/>
    </w:rPr>
  </w:style>
  <w:style w:type="character" w:customStyle="1" w:styleId="Heading3Char">
    <w:name w:val="Heading 3 Char"/>
    <w:basedOn w:val="a0"/>
    <w:uiPriority w:val="9"/>
    <w:qFormat/>
    <w:rPr>
      <w:rFonts w:ascii="Arial" w:eastAsia="Arial" w:hAnsi="Arial" w:cs="Arial"/>
      <w:sz w:val="30"/>
      <w:szCs w:val="30"/>
    </w:rPr>
  </w:style>
  <w:style w:type="character" w:customStyle="1" w:styleId="Heading4Char">
    <w:name w:val="Heading 4 Char"/>
    <w:basedOn w:val="a0"/>
    <w:uiPriority w:val="9"/>
    <w:qFormat/>
    <w:rPr>
      <w:rFonts w:ascii="Arial" w:eastAsia="Arial" w:hAnsi="Arial" w:cs="Arial"/>
      <w:b/>
      <w:bCs/>
      <w:sz w:val="26"/>
      <w:szCs w:val="26"/>
    </w:rPr>
  </w:style>
  <w:style w:type="character" w:customStyle="1" w:styleId="Heading5Char">
    <w:name w:val="Heading 5 Char"/>
    <w:basedOn w:val="a0"/>
    <w:uiPriority w:val="9"/>
    <w:qFormat/>
    <w:rPr>
      <w:rFonts w:ascii="Arial" w:eastAsia="Arial" w:hAnsi="Arial" w:cs="Arial"/>
      <w:b/>
      <w:bCs/>
      <w:sz w:val="24"/>
      <w:szCs w:val="24"/>
    </w:rPr>
  </w:style>
  <w:style w:type="character" w:customStyle="1" w:styleId="Heading6Char">
    <w:name w:val="Heading 6 Char"/>
    <w:basedOn w:val="a0"/>
    <w:uiPriority w:val="9"/>
    <w:qFormat/>
    <w:rPr>
      <w:rFonts w:ascii="Arial" w:eastAsia="Arial" w:hAnsi="Arial" w:cs="Arial"/>
      <w:b/>
      <w:bCs/>
      <w:sz w:val="22"/>
      <w:szCs w:val="22"/>
    </w:rPr>
  </w:style>
  <w:style w:type="character" w:customStyle="1" w:styleId="Heading7Char">
    <w:name w:val="Heading 7 Char"/>
    <w:basedOn w:val="a0"/>
    <w:uiPriority w:val="9"/>
    <w:qFormat/>
    <w:rPr>
      <w:rFonts w:ascii="Arial" w:eastAsia="Arial" w:hAnsi="Arial" w:cs="Arial"/>
      <w:b/>
      <w:bCs/>
      <w:i/>
      <w:iCs/>
      <w:sz w:val="22"/>
      <w:szCs w:val="22"/>
    </w:rPr>
  </w:style>
  <w:style w:type="character" w:customStyle="1" w:styleId="Heading8Char">
    <w:name w:val="Heading 8 Char"/>
    <w:basedOn w:val="a0"/>
    <w:uiPriority w:val="9"/>
    <w:qFormat/>
    <w:rPr>
      <w:rFonts w:ascii="Arial" w:eastAsia="Arial" w:hAnsi="Arial" w:cs="Arial"/>
      <w:i/>
      <w:iCs/>
      <w:sz w:val="22"/>
      <w:szCs w:val="22"/>
    </w:rPr>
  </w:style>
  <w:style w:type="character" w:customStyle="1" w:styleId="Heading9Char">
    <w:name w:val="Heading 9 Char"/>
    <w:basedOn w:val="a0"/>
    <w:uiPriority w:val="9"/>
    <w:qFormat/>
    <w:rPr>
      <w:rFonts w:ascii="Arial" w:eastAsia="Arial" w:hAnsi="Arial" w:cs="Arial"/>
      <w:i/>
      <w:iCs/>
      <w:sz w:val="21"/>
      <w:szCs w:val="21"/>
    </w:rPr>
  </w:style>
  <w:style w:type="character" w:customStyle="1" w:styleId="TitleChar">
    <w:name w:val="Title Char"/>
    <w:basedOn w:val="a0"/>
    <w:uiPriority w:val="10"/>
    <w:qFormat/>
    <w:rPr>
      <w:sz w:val="48"/>
      <w:szCs w:val="48"/>
    </w:rPr>
  </w:style>
  <w:style w:type="character" w:customStyle="1" w:styleId="SubtitleChar">
    <w:name w:val="Subtitle Char"/>
    <w:basedOn w:val="a0"/>
    <w:uiPriority w:val="11"/>
    <w:qFormat/>
    <w:rPr>
      <w:sz w:val="24"/>
      <w:szCs w:val="24"/>
    </w:rPr>
  </w:style>
  <w:style w:type="character" w:customStyle="1" w:styleId="QuoteChar">
    <w:name w:val="Quote Char"/>
    <w:uiPriority w:val="29"/>
    <w:qFormat/>
    <w:rPr>
      <w:i/>
    </w:rPr>
  </w:style>
  <w:style w:type="character" w:customStyle="1" w:styleId="IntenseQuoteChar">
    <w:name w:val="Intense Quote Char"/>
    <w:uiPriority w:val="30"/>
    <w:qFormat/>
    <w:rPr>
      <w:i/>
    </w:rPr>
  </w:style>
  <w:style w:type="character" w:customStyle="1" w:styleId="HeaderChar">
    <w:name w:val="Header Char"/>
    <w:basedOn w:val="a0"/>
    <w:uiPriority w:val="99"/>
    <w:qFormat/>
  </w:style>
  <w:style w:type="character" w:customStyle="1" w:styleId="CaptionChar">
    <w:name w:val="Caption Char"/>
    <w:uiPriority w:val="99"/>
    <w:qFormat/>
  </w:style>
  <w:style w:type="character" w:customStyle="1" w:styleId="FootnoteTextChar">
    <w:name w:val="Footnote Text Char"/>
    <w:uiPriority w:val="99"/>
    <w:qFormat/>
    <w:rPr>
      <w:sz w:val="18"/>
    </w:rPr>
  </w:style>
  <w:style w:type="character" w:customStyle="1" w:styleId="EndnoteTextChar">
    <w:name w:val="Endnote Text Char"/>
    <w:uiPriority w:val="99"/>
    <w:qFormat/>
    <w:rPr>
      <w:sz w:val="20"/>
    </w:rPr>
  </w:style>
  <w:style w:type="character" w:customStyle="1" w:styleId="10">
    <w:name w:val="Заголовок 1 Знак"/>
    <w:basedOn w:val="a0"/>
    <w:link w:val="1"/>
    <w:uiPriority w:val="9"/>
    <w:qFormat/>
    <w:rPr>
      <w:rFonts w:ascii="Arial" w:eastAsia="Arial" w:hAnsi="Arial" w:cs="Arial"/>
      <w:sz w:val="40"/>
      <w:szCs w:val="40"/>
    </w:rPr>
  </w:style>
  <w:style w:type="character" w:customStyle="1" w:styleId="20">
    <w:name w:val="Заголовок 2 Знак"/>
    <w:basedOn w:val="a0"/>
    <w:link w:val="2"/>
    <w:uiPriority w:val="9"/>
    <w:qFormat/>
    <w:rPr>
      <w:rFonts w:ascii="Arial" w:eastAsia="Arial" w:hAnsi="Arial" w:cs="Arial"/>
      <w:sz w:val="34"/>
    </w:rPr>
  </w:style>
  <w:style w:type="character" w:customStyle="1" w:styleId="30">
    <w:name w:val="Заголовок 3 Знак"/>
    <w:basedOn w:val="a0"/>
    <w:link w:val="3"/>
    <w:uiPriority w:val="9"/>
    <w:qFormat/>
    <w:rPr>
      <w:rFonts w:ascii="Arial" w:eastAsia="Arial" w:hAnsi="Arial" w:cs="Arial"/>
      <w:sz w:val="30"/>
      <w:szCs w:val="30"/>
    </w:rPr>
  </w:style>
  <w:style w:type="character" w:customStyle="1" w:styleId="40">
    <w:name w:val="Заголовок 4 Знак"/>
    <w:basedOn w:val="a0"/>
    <w:link w:val="4"/>
    <w:uiPriority w:val="9"/>
    <w:qFormat/>
    <w:rPr>
      <w:rFonts w:ascii="Arial" w:eastAsia="Arial" w:hAnsi="Arial" w:cs="Arial"/>
      <w:b/>
      <w:bCs/>
      <w:sz w:val="26"/>
      <w:szCs w:val="26"/>
    </w:rPr>
  </w:style>
  <w:style w:type="character" w:customStyle="1" w:styleId="50">
    <w:name w:val="Заголовок 5 Знак"/>
    <w:basedOn w:val="a0"/>
    <w:link w:val="5"/>
    <w:uiPriority w:val="9"/>
    <w:qFormat/>
    <w:rPr>
      <w:rFonts w:ascii="Arial" w:eastAsia="Arial" w:hAnsi="Arial" w:cs="Arial"/>
      <w:b/>
      <w:bCs/>
      <w:sz w:val="24"/>
      <w:szCs w:val="24"/>
    </w:rPr>
  </w:style>
  <w:style w:type="character" w:customStyle="1" w:styleId="60">
    <w:name w:val="Заголовок 6 Знак"/>
    <w:basedOn w:val="a0"/>
    <w:link w:val="6"/>
    <w:uiPriority w:val="9"/>
    <w:qFormat/>
    <w:rPr>
      <w:rFonts w:ascii="Arial" w:eastAsia="Arial" w:hAnsi="Arial" w:cs="Arial"/>
      <w:b/>
      <w:bCs/>
      <w:sz w:val="22"/>
      <w:szCs w:val="22"/>
    </w:rPr>
  </w:style>
  <w:style w:type="character" w:customStyle="1" w:styleId="70">
    <w:name w:val="Заголовок 7 Знак"/>
    <w:basedOn w:val="a0"/>
    <w:link w:val="7"/>
    <w:uiPriority w:val="9"/>
    <w:qFormat/>
    <w:rPr>
      <w:rFonts w:ascii="Arial" w:eastAsia="Arial" w:hAnsi="Arial" w:cs="Arial"/>
      <w:b/>
      <w:bCs/>
      <w:i/>
      <w:iCs/>
      <w:sz w:val="22"/>
      <w:szCs w:val="22"/>
    </w:rPr>
  </w:style>
  <w:style w:type="character" w:customStyle="1" w:styleId="80">
    <w:name w:val="Заголовок 8 Знак"/>
    <w:basedOn w:val="a0"/>
    <w:link w:val="8"/>
    <w:uiPriority w:val="9"/>
    <w:qFormat/>
    <w:rPr>
      <w:rFonts w:ascii="Arial" w:eastAsia="Arial" w:hAnsi="Arial" w:cs="Arial"/>
      <w:i/>
      <w:iCs/>
      <w:sz w:val="22"/>
      <w:szCs w:val="22"/>
    </w:rPr>
  </w:style>
  <w:style w:type="character" w:customStyle="1" w:styleId="90">
    <w:name w:val="Заголовок 9 Знак"/>
    <w:basedOn w:val="a0"/>
    <w:link w:val="9"/>
    <w:uiPriority w:val="9"/>
    <w:qFormat/>
    <w:rPr>
      <w:rFonts w:ascii="Arial" w:eastAsia="Arial" w:hAnsi="Arial" w:cs="Arial"/>
      <w:i/>
      <w:iCs/>
      <w:sz w:val="21"/>
      <w:szCs w:val="21"/>
    </w:rPr>
  </w:style>
  <w:style w:type="character" w:customStyle="1" w:styleId="a3">
    <w:name w:val="Назва Знак"/>
    <w:basedOn w:val="a0"/>
    <w:link w:val="a4"/>
    <w:uiPriority w:val="10"/>
    <w:qFormat/>
    <w:rPr>
      <w:sz w:val="48"/>
      <w:szCs w:val="48"/>
    </w:rPr>
  </w:style>
  <w:style w:type="character" w:customStyle="1" w:styleId="a5">
    <w:name w:val="Підзаголовок Знак"/>
    <w:basedOn w:val="a0"/>
    <w:link w:val="a6"/>
    <w:uiPriority w:val="11"/>
    <w:qFormat/>
    <w:rPr>
      <w:sz w:val="24"/>
      <w:szCs w:val="24"/>
    </w:rPr>
  </w:style>
  <w:style w:type="character" w:customStyle="1" w:styleId="a7">
    <w:name w:val="Цитата Знак"/>
    <w:link w:val="a8"/>
    <w:uiPriority w:val="29"/>
    <w:qFormat/>
    <w:rPr>
      <w:i/>
    </w:rPr>
  </w:style>
  <w:style w:type="character" w:customStyle="1" w:styleId="a9">
    <w:name w:val="Насичена цитата Знак"/>
    <w:link w:val="aa"/>
    <w:uiPriority w:val="30"/>
    <w:qFormat/>
    <w:rPr>
      <w:i/>
    </w:rPr>
  </w:style>
  <w:style w:type="character" w:customStyle="1" w:styleId="ab">
    <w:name w:val="Верхній колонтитул Знак"/>
    <w:basedOn w:val="a0"/>
    <w:link w:val="ac"/>
    <w:uiPriority w:val="99"/>
    <w:qFormat/>
  </w:style>
  <w:style w:type="character" w:customStyle="1" w:styleId="FooterChar">
    <w:name w:val="Footer Char"/>
    <w:basedOn w:val="a0"/>
    <w:uiPriority w:val="99"/>
    <w:qFormat/>
  </w:style>
  <w:style w:type="character" w:customStyle="1" w:styleId="ad">
    <w:name w:val="Нижній колонтитул Знак"/>
    <w:link w:val="ae"/>
    <w:uiPriority w:val="99"/>
    <w:qFormat/>
  </w:style>
  <w:style w:type="character" w:styleId="af">
    <w:name w:val="Hyperlink"/>
    <w:uiPriority w:val="99"/>
    <w:unhideWhenUsed/>
    <w:rPr>
      <w:color w:val="0563C1" w:themeColor="hyperlink"/>
      <w:u w:val="single"/>
    </w:rPr>
  </w:style>
  <w:style w:type="character" w:customStyle="1" w:styleId="af0">
    <w:name w:val="Текст виноски Знак"/>
    <w:link w:val="af1"/>
    <w:uiPriority w:val="99"/>
    <w:qFormat/>
    <w:rPr>
      <w:sz w:val="18"/>
    </w:rPr>
  </w:style>
  <w:style w:type="character" w:customStyle="1" w:styleId="af2">
    <w:name w:val="Символи виноски"/>
    <w:uiPriority w:val="99"/>
    <w:unhideWhenUsed/>
    <w:qFormat/>
    <w:rPr>
      <w:vertAlign w:val="superscript"/>
    </w:rPr>
  </w:style>
  <w:style w:type="character" w:styleId="af3">
    <w:name w:val="footnote reference"/>
    <w:rPr>
      <w:vertAlign w:val="superscript"/>
    </w:rPr>
  </w:style>
  <w:style w:type="character" w:customStyle="1" w:styleId="af4">
    <w:name w:val="Текст кінцевої виноски Знак"/>
    <w:link w:val="af5"/>
    <w:uiPriority w:val="99"/>
    <w:qFormat/>
    <w:rPr>
      <w:sz w:val="20"/>
    </w:rPr>
  </w:style>
  <w:style w:type="character" w:customStyle="1" w:styleId="af6">
    <w:name w:val="Символи кінцевої виноски"/>
    <w:uiPriority w:val="99"/>
    <w:semiHidden/>
    <w:unhideWhenUsed/>
    <w:qFormat/>
    <w:rPr>
      <w:vertAlign w:val="superscript"/>
    </w:rPr>
  </w:style>
  <w:style w:type="character" w:styleId="af7">
    <w:name w:val="endnote reference"/>
    <w:rPr>
      <w:vertAlign w:val="superscript"/>
    </w:rPr>
  </w:style>
  <w:style w:type="paragraph" w:customStyle="1" w:styleId="af8">
    <w:name w:val="Заголовок"/>
    <w:basedOn w:val="a"/>
    <w:next w:val="af9"/>
    <w:qFormat/>
    <w:pPr>
      <w:keepNext/>
      <w:spacing w:before="240" w:after="120"/>
    </w:pPr>
    <w:rPr>
      <w:rFonts w:ascii="Carlito" w:eastAsia="Noto Sans CJK SC" w:hAnsi="Carlito" w:cs="Noto Sans Devanagari"/>
      <w:sz w:val="28"/>
      <w:szCs w:val="28"/>
    </w:rPr>
  </w:style>
  <w:style w:type="paragraph" w:styleId="af9">
    <w:name w:val="Body Text"/>
    <w:basedOn w:val="a"/>
    <w:pPr>
      <w:spacing w:after="140"/>
    </w:pPr>
  </w:style>
  <w:style w:type="paragraph" w:styleId="afa">
    <w:name w:val="List"/>
    <w:basedOn w:val="af9"/>
    <w:rPr>
      <w:rFonts w:cs="Noto Sans Devanagari"/>
    </w:rPr>
  </w:style>
  <w:style w:type="paragraph" w:styleId="afb">
    <w:name w:val="caption"/>
    <w:basedOn w:val="a"/>
    <w:qFormat/>
    <w:pPr>
      <w:suppressLineNumbers/>
      <w:spacing w:before="120" w:after="120"/>
    </w:pPr>
    <w:rPr>
      <w:rFonts w:cs="Noto Sans Devanagari"/>
      <w:i/>
      <w:iCs/>
      <w:sz w:val="24"/>
      <w:szCs w:val="24"/>
    </w:rPr>
  </w:style>
  <w:style w:type="paragraph" w:customStyle="1" w:styleId="afc">
    <w:name w:val="Покажчик"/>
    <w:basedOn w:val="a"/>
    <w:qFormat/>
    <w:pPr>
      <w:suppressLineNumbers/>
    </w:pPr>
    <w:rPr>
      <w:rFonts w:cs="Noto Sans Devanagari"/>
    </w:rPr>
  </w:style>
  <w:style w:type="paragraph" w:customStyle="1" w:styleId="caption1">
    <w:name w:val="caption1"/>
    <w:basedOn w:val="a"/>
    <w:qFormat/>
    <w:pPr>
      <w:suppressLineNumbers/>
      <w:spacing w:before="120" w:after="120"/>
    </w:pPr>
    <w:rPr>
      <w:rFonts w:cs="Noto Sans Devanagari"/>
      <w:i/>
      <w:iCs/>
      <w:sz w:val="24"/>
      <w:szCs w:val="24"/>
    </w:rPr>
  </w:style>
  <w:style w:type="paragraph" w:customStyle="1" w:styleId="caption11">
    <w:name w:val="caption11"/>
    <w:basedOn w:val="a"/>
    <w:qFormat/>
    <w:pPr>
      <w:suppressLineNumbers/>
      <w:spacing w:before="120" w:after="120"/>
    </w:pPr>
    <w:rPr>
      <w:rFonts w:cs="Noto Sans Devanagari"/>
      <w:i/>
      <w:iCs/>
      <w:sz w:val="24"/>
      <w:szCs w:val="24"/>
    </w:rPr>
  </w:style>
  <w:style w:type="paragraph" w:customStyle="1" w:styleId="caption111">
    <w:name w:val="caption111"/>
    <w:basedOn w:val="a"/>
    <w:qFormat/>
    <w:pPr>
      <w:suppressLineNumbers/>
      <w:spacing w:before="120" w:after="120"/>
    </w:pPr>
    <w:rPr>
      <w:rFonts w:cs="Noto Sans Devanagari"/>
      <w:i/>
      <w:iCs/>
      <w:sz w:val="24"/>
      <w:szCs w:val="24"/>
    </w:rPr>
  </w:style>
  <w:style w:type="paragraph" w:styleId="afd">
    <w:name w:val="List Paragraph"/>
    <w:basedOn w:val="a"/>
    <w:uiPriority w:val="34"/>
    <w:qFormat/>
    <w:pPr>
      <w:ind w:left="720"/>
      <w:contextualSpacing/>
    </w:pPr>
  </w:style>
  <w:style w:type="paragraph" w:styleId="a4">
    <w:name w:val="Title"/>
    <w:basedOn w:val="a"/>
    <w:next w:val="a"/>
    <w:link w:val="a3"/>
    <w:uiPriority w:val="10"/>
    <w:qFormat/>
    <w:pPr>
      <w:spacing w:before="300"/>
      <w:contextualSpacing/>
    </w:pPr>
    <w:rPr>
      <w:sz w:val="48"/>
      <w:szCs w:val="48"/>
    </w:rPr>
  </w:style>
  <w:style w:type="paragraph" w:styleId="a6">
    <w:name w:val="Subtitle"/>
    <w:basedOn w:val="a"/>
    <w:next w:val="a"/>
    <w:link w:val="a5"/>
    <w:uiPriority w:val="11"/>
    <w:qFormat/>
    <w:pPr>
      <w:spacing w:before="200"/>
    </w:pPr>
    <w:rPr>
      <w:sz w:val="24"/>
      <w:szCs w:val="24"/>
    </w:rPr>
  </w:style>
  <w:style w:type="paragraph" w:styleId="a8">
    <w:name w:val="Quote"/>
    <w:basedOn w:val="a"/>
    <w:next w:val="a"/>
    <w:link w:val="a7"/>
    <w:uiPriority w:val="29"/>
    <w:qFormat/>
    <w:pPr>
      <w:ind w:left="720" w:right="720"/>
    </w:pPr>
    <w:rPr>
      <w:i/>
    </w:rPr>
  </w:style>
  <w:style w:type="paragraph" w:styleId="aa">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paragraph" w:customStyle="1" w:styleId="afe">
    <w:name w:val="Верхній і нижній колонтитули"/>
    <w:basedOn w:val="a"/>
    <w:qFormat/>
  </w:style>
  <w:style w:type="paragraph" w:styleId="ac">
    <w:name w:val="header"/>
    <w:basedOn w:val="a"/>
    <w:link w:val="ab"/>
    <w:uiPriority w:val="99"/>
    <w:unhideWhenUsed/>
    <w:pPr>
      <w:tabs>
        <w:tab w:val="center" w:pos="7143"/>
        <w:tab w:val="right" w:pos="14287"/>
      </w:tabs>
      <w:spacing w:after="0" w:line="240" w:lineRule="auto"/>
    </w:pPr>
  </w:style>
  <w:style w:type="paragraph" w:styleId="ae">
    <w:name w:val="footer"/>
    <w:basedOn w:val="a"/>
    <w:link w:val="ad"/>
    <w:uiPriority w:val="99"/>
    <w:unhideWhenUsed/>
    <w:pPr>
      <w:tabs>
        <w:tab w:val="center" w:pos="7143"/>
        <w:tab w:val="right" w:pos="14287"/>
      </w:tabs>
      <w:spacing w:after="0" w:line="240" w:lineRule="auto"/>
    </w:pPr>
  </w:style>
  <w:style w:type="paragraph" w:customStyle="1" w:styleId="caption1111">
    <w:name w:val="caption1111"/>
    <w:basedOn w:val="a"/>
    <w:next w:val="a"/>
    <w:uiPriority w:val="35"/>
    <w:semiHidden/>
    <w:unhideWhenUsed/>
    <w:qFormat/>
    <w:rPr>
      <w:b/>
      <w:bCs/>
      <w:color w:val="4472C4" w:themeColor="accent1"/>
      <w:sz w:val="18"/>
      <w:szCs w:val="18"/>
    </w:rPr>
  </w:style>
  <w:style w:type="paragraph" w:styleId="af1">
    <w:name w:val="footnote text"/>
    <w:basedOn w:val="a"/>
    <w:link w:val="af0"/>
    <w:uiPriority w:val="99"/>
    <w:semiHidden/>
    <w:unhideWhenUsed/>
    <w:pPr>
      <w:spacing w:after="40" w:line="240" w:lineRule="auto"/>
    </w:pPr>
    <w:rPr>
      <w:sz w:val="18"/>
    </w:rPr>
  </w:style>
  <w:style w:type="paragraph" w:styleId="af5">
    <w:name w:val="endnote text"/>
    <w:basedOn w:val="a"/>
    <w:link w:val="af4"/>
    <w:uiPriority w:val="99"/>
    <w:semiHidden/>
    <w:unhideWhenUsed/>
    <w:pPr>
      <w:spacing w:after="0" w:line="240" w:lineRule="auto"/>
    </w:pPr>
    <w:rPr>
      <w:sz w:val="20"/>
    </w:rPr>
  </w:style>
  <w:style w:type="paragraph" w:styleId="11">
    <w:name w:val="toc 1"/>
    <w:basedOn w:val="a"/>
    <w:next w:val="a"/>
    <w:uiPriority w:val="39"/>
    <w:unhideWhenUsed/>
    <w:pPr>
      <w:spacing w:after="57"/>
    </w:pPr>
  </w:style>
  <w:style w:type="paragraph" w:styleId="21">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customStyle="1" w:styleId="indexheading1">
    <w:name w:val="index heading1"/>
    <w:basedOn w:val="af8"/>
    <w:qFormat/>
  </w:style>
  <w:style w:type="paragraph" w:customStyle="1" w:styleId="indexheading2">
    <w:name w:val="index heading2"/>
    <w:basedOn w:val="af8"/>
    <w:qFormat/>
  </w:style>
  <w:style w:type="paragraph" w:customStyle="1" w:styleId="indexheading3">
    <w:name w:val="index heading3"/>
    <w:basedOn w:val="af8"/>
    <w:qFormat/>
  </w:style>
  <w:style w:type="paragraph" w:styleId="aff">
    <w:name w:val="index heading"/>
    <w:basedOn w:val="af8"/>
  </w:style>
  <w:style w:type="paragraph" w:styleId="aff0">
    <w:name w:val="TOC Heading"/>
    <w:uiPriority w:val="39"/>
    <w:unhideWhenUsed/>
    <w:qFormat/>
    <w:pPr>
      <w:spacing w:after="160" w:line="259" w:lineRule="auto"/>
    </w:pPr>
  </w:style>
  <w:style w:type="paragraph" w:styleId="aff1">
    <w:name w:val="table of figures"/>
    <w:basedOn w:val="a"/>
    <w:next w:val="a"/>
    <w:uiPriority w:val="99"/>
    <w:unhideWhenUsed/>
    <w:qFormat/>
    <w:pPr>
      <w:spacing w:after="0"/>
    </w:pPr>
  </w:style>
  <w:style w:type="paragraph" w:styleId="aff2">
    <w:name w:val="No Spacing"/>
    <w:uiPriority w:val="1"/>
    <w:qFormat/>
  </w:style>
  <w:style w:type="paragraph" w:customStyle="1" w:styleId="western">
    <w:name w:val="western"/>
    <w:basedOn w:val="a"/>
    <w:qFormat/>
    <w:rsid w:val="00B14A46"/>
    <w:pPr>
      <w:spacing w:beforeAutospacing="1" w:after="142"/>
    </w:pPr>
    <w:rPr>
      <w:rFonts w:eastAsia="Times New Roman" w:cs="Calibri"/>
      <w:color w:val="000000"/>
      <w:lang w:eastAsia="uk-UA"/>
    </w:rPr>
  </w:style>
  <w:style w:type="paragraph" w:customStyle="1" w:styleId="aff3">
    <w:name w:val="Вміст таблиці"/>
    <w:basedOn w:val="a"/>
    <w:qFormat/>
    <w:pPr>
      <w:widowControl w:val="0"/>
      <w:suppressLineNumbers/>
    </w:pPr>
  </w:style>
  <w:style w:type="paragraph" w:customStyle="1" w:styleId="aff4">
    <w:name w:val="Заголовок таблиці"/>
    <w:basedOn w:val="aff3"/>
    <w:qFormat/>
    <w:pPr>
      <w:jc w:val="center"/>
    </w:pPr>
    <w:rPr>
      <w:b/>
      <w:bCs/>
    </w:rPr>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2">
    <w:name w:val="Plain Table 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b/>
        <w:sz w:val="22"/>
      </w:rPr>
    </w:tblStylePr>
    <w:tblStylePr w:type="lastRow">
      <w:rPr>
        <w:b/>
        <w:sz w:val="22"/>
      </w:rPr>
    </w:tblStylePr>
    <w:tblStylePr w:type="firstCol">
      <w:rPr>
        <w:b/>
        <w:sz w:val="22"/>
      </w:rPr>
    </w:tblStylePr>
    <w:tblStylePr w:type="lastCol">
      <w:rPr>
        <w:b/>
        <w:sz w:val="22"/>
      </w:rPr>
    </w:tblStylePr>
    <w:tblStylePr w:type="band1Vert">
      <w:tblPr/>
      <w:tcPr>
        <w:shd w:val="clear" w:color="F2F2F2" w:fill="F2F2F2" w:themeFill="text1" w:themeFillTint="0D"/>
      </w:tcPr>
    </w:tblStylePr>
    <w:tblStylePr w:type="band1Horz">
      <w:tblPr/>
      <w:tcPr>
        <w:shd w:val="clear" w:color="F2F2F2" w:fill="F2F2F2" w:themeFill="text1" w:themeFillTint="0D"/>
      </w:tcPr>
    </w:tblStylePr>
  </w:style>
  <w:style w:type="table" w:styleId="22">
    <w:name w:val="Plain Table 2"/>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b/>
        <w:sz w:val="22"/>
      </w:rPr>
      <w:tblPr/>
      <w:tcPr>
        <w:tcBorders>
          <w:top w:val="single" w:sz="4" w:space="0" w:color="000000" w:themeColor="text1"/>
          <w:bottom w:val="single" w:sz="4" w:space="0" w:color="000000" w:themeColor="text1"/>
        </w:tcBorders>
      </w:tcPr>
    </w:tblStylePr>
    <w:tblStylePr w:type="lastRow">
      <w:rPr>
        <w:b/>
        <w:sz w:val="22"/>
      </w:rPr>
    </w:tblStylePr>
    <w:tblStylePr w:type="firstCol">
      <w:rPr>
        <w:b/>
        <w:sz w:val="22"/>
      </w:rPr>
    </w:tblStylePr>
    <w:tblStylePr w:type="lastCol">
      <w:rPr>
        <w:b/>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2">
    <w:name w:val="Plain Table 3"/>
    <w:basedOn w:val="a1"/>
    <w:uiPriority w:val="99"/>
    <w:tblPr>
      <w:tblStyleRowBandSize w:val="1"/>
      <w:tblStyleColBandSize w:val="1"/>
    </w:tblPr>
    <w:tblStylePr w:type="firstRow">
      <w:rPr>
        <w:b/>
        <w:caps/>
      </w:rPr>
      <w:tblPr/>
      <w:tcPr>
        <w:tcBorders>
          <w:top w:val="none" w:sz="4" w:space="0" w:color="000000"/>
          <w:left w:val="none" w:sz="4" w:space="0" w:color="000000"/>
          <w:bottom w:val="single" w:sz="4" w:space="0" w:color="404040"/>
          <w:right w:val="none" w:sz="4" w:space="0" w:color="000000"/>
        </w:tcBorders>
      </w:tcPr>
    </w:tblStylePr>
    <w:tblStylePr w:type="lastRow">
      <w:rPr>
        <w:b/>
        <w:caps/>
      </w:rPr>
    </w:tblStylePr>
    <w:tblStylePr w:type="firstCol">
      <w:rPr>
        <w:b/>
        <w:caps/>
      </w:rPr>
      <w:tblPr/>
      <w:tcPr>
        <w:tcBorders>
          <w:top w:val="none" w:sz="4" w:space="0" w:color="000000"/>
          <w:left w:val="none" w:sz="4" w:space="0" w:color="000000"/>
          <w:bottom w:val="none" w:sz="4" w:space="0" w:color="000000"/>
          <w:right w:val="single" w:sz="4" w:space="0" w:color="404040"/>
        </w:tcBorders>
      </w:tcPr>
    </w:tblStylePr>
    <w:tblStylePr w:type="lastCol">
      <w:rPr>
        <w:b/>
        <w:caps/>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42">
    <w:name w:val="Plain Table 4"/>
    <w:basedOn w:val="a1"/>
    <w:uiPriority w:val="99"/>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52">
    <w:name w:val="Plain Table 5"/>
    <w:basedOn w:val="a1"/>
    <w:uiPriority w:val="99"/>
    <w:tblPr>
      <w:tblStyleRowBandSize w:val="1"/>
      <w:tblStyleColBandSize w:val="1"/>
    </w:tblPr>
    <w:tblStylePr w:type="firstRow">
      <w:rPr>
        <w:i/>
      </w:rPr>
      <w:tblPr/>
      <w:tcPr>
        <w:tcBorders>
          <w:left w:val="none" w:sz="4" w:space="0" w:color="000000"/>
          <w:bottom w:val="single" w:sz="4" w:space="0" w:color="404040"/>
          <w:right w:val="none" w:sz="4" w:space="0" w:color="000000"/>
        </w:tcBorders>
        <w:shd w:val="clear" w:color="FFFFFF" w:fill="auto"/>
      </w:tcPr>
    </w:tblStylePr>
    <w:tblStylePr w:type="lastRow">
      <w:rPr>
        <w:i/>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rPr>
      <w:tblPr/>
      <w:tcPr>
        <w:tcBorders>
          <w:right w:val="single" w:sz="4" w:space="0" w:color="404040"/>
        </w:tcBorders>
        <w:shd w:val="clear" w:color="FFFFFF" w:fill="auto"/>
      </w:tcPr>
    </w:tblStylePr>
    <w:tblStylePr w:type="lastCol">
      <w:rPr>
        <w:i/>
      </w:rPr>
      <w:tblPr/>
      <w:tcPr>
        <w:tcBorders>
          <w:left w:val="single" w:sz="4" w:space="0" w:color="404040"/>
        </w:tcBorders>
        <w:shd w:val="clear" w:color="FFFFFF" w:fill="auto"/>
      </w:tcPr>
    </w:tblStylePr>
    <w:tblStylePr w:type="band1Vert">
      <w:rPr>
        <w:sz w:val="22"/>
      </w:rPr>
      <w:tblPr/>
      <w:tcPr>
        <w:shd w:val="clear" w:color="F2F2F2" w:fill="F2F2F2" w:themeFill="text1" w:themeFillTint="0D"/>
      </w:tcPr>
    </w:tblStylePr>
    <w:tblStylePr w:type="band1Horz">
      <w:rPr>
        <w:sz w:val="22"/>
      </w:rPr>
      <w:tblPr/>
      <w:tcPr>
        <w:shd w:val="clear" w:color="F2F2F2" w:fill="F2F2F2" w:themeFill="text1" w:themeFillTint="0D"/>
      </w:tcPr>
    </w:tblStylePr>
  </w:style>
  <w:style w:type="table" w:styleId="-1">
    <w:name w:val="Grid Table 1 Light"/>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rPr>
      <w:tblPr/>
      <w:tcPr>
        <w:tcBorders>
          <w:bottom w:val="single" w:sz="12" w:space="0" w:color="000000" w:themeColor="tex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rPr>
      <w:tblPr/>
      <w:tcPr>
        <w:tcBorders>
          <w:bottom w:val="single" w:sz="12" w:space="0" w:color="4472C4" w:themeColor="accent1"/>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rPr>
      <w:tblPr/>
      <w:tcPr>
        <w:tcBorders>
          <w:bottom w:val="single" w:sz="12" w:space="0" w:color="ED7D31" w:themeColor="accent2"/>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rPr>
      <w:tblPr/>
      <w:tcPr>
        <w:tcBorders>
          <w:bottom w:val="single" w:sz="12" w:space="0" w:color="A5A5A5" w:themeColor="accent3"/>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rPr>
      <w:tblPr/>
      <w:tcPr>
        <w:tcBorders>
          <w:bottom w:val="single" w:sz="12" w:space="0" w:color="FFC000" w:themeColor="accent4"/>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rPr>
      <w:tblPr/>
      <w:tcPr>
        <w:tcBorders>
          <w:bottom w:val="single" w:sz="12" w:space="0" w:color="5B9BD5" w:themeColor="accent5"/>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rPr>
      <w:tblPr/>
      <w:tcPr>
        <w:tcBorders>
          <w:bottom w:val="single" w:sz="12" w:space="0" w:color="70AD47" w:themeColor="accent6"/>
        </w:tcBorders>
      </w:tcPr>
    </w:tblStylePr>
    <w:tblStylePr w:type="lastRow">
      <w:rPr>
        <w:b/>
      </w:rPr>
    </w:tblStylePr>
    <w:tblStylePr w:type="firstCol">
      <w:rPr>
        <w:b/>
      </w:rPr>
    </w:tblStylePr>
    <w:tblStylePr w:type="lastCol">
      <w:rPr>
        <w:b/>
      </w:r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2">
    <w:name w:val="Grid Table 2"/>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single" w:sz="12" w:space="0" w:color="000000" w:themeColor="text1"/>
          <w:right w:val="none" w:sz="4" w:space="0" w:color="000000"/>
        </w:tcBorders>
        <w:shd w:val="clear" w:color="FFFFFF" w:fill="auto"/>
      </w:tcPr>
    </w:tblStylePr>
    <w:tblStylePr w:type="lastRow">
      <w:rPr>
        <w:b/>
      </w:rPr>
      <w:tblPr/>
      <w:tcPr>
        <w:tcBorders>
          <w:top w:val="single" w:sz="4" w:space="0" w:color="000000" w:themeColor="tex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single" w:sz="12" w:space="0" w:color="4472C4" w:themeColor="accent1"/>
          <w:right w:val="none" w:sz="4" w:space="0" w:color="000000"/>
        </w:tcBorders>
        <w:shd w:val="clear" w:color="FFFFFF" w:fill="auto"/>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single" w:sz="12" w:space="0" w:color="ED7D31" w:themeColor="accent2"/>
          <w:right w:val="none" w:sz="4" w:space="0" w:color="000000"/>
        </w:tcBorders>
        <w:shd w:val="clear" w:color="FFFFFF" w:fill="auto"/>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single" w:sz="12" w:space="0" w:color="A5A5A5" w:themeColor="accent3"/>
          <w:right w:val="none" w:sz="4" w:space="0" w:color="000000"/>
        </w:tcBorders>
        <w:shd w:val="clear" w:color="FFFFFF" w:fill="auto"/>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single" w:sz="12" w:space="0" w:color="FFC000" w:themeColor="accent4"/>
          <w:right w:val="none" w:sz="4" w:space="0" w:color="000000"/>
        </w:tcBorders>
        <w:shd w:val="clear" w:color="FFFFFF" w:fill="auto"/>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b/>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fill="000000" w:themeFill="text1"/>
      </w:tcPr>
    </w:tblStylePr>
    <w:tblStylePr w:type="lastRow">
      <w:rPr>
        <w:b/>
      </w:rPr>
      <w:tblPr/>
      <w:tcPr>
        <w:tcBorders>
          <w:top w:val="single" w:sz="4" w:space="0" w:color="000000" w:themeColor="text1"/>
        </w:tcBorders>
      </w:tcPr>
    </w:tblStylePr>
    <w:tblStylePr w:type="firstCol">
      <w:rPr>
        <w:b/>
      </w:rPr>
    </w:tblStylePr>
    <w:tblStylePr w:type="lastCol">
      <w:rPr>
        <w:b/>
      </w:r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b/>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shd w:val="clear" w:color="537DC8" w:fill="537DC8" w:themeFill="accent1" w:themeFillTint="EA"/>
      </w:tcPr>
    </w:tblStylePr>
    <w:tblStylePr w:type="lastRow">
      <w:rPr>
        <w:b/>
      </w:rPr>
      <w:tblPr/>
      <w:tcPr>
        <w:tcBorders>
          <w:top w:val="single" w:sz="4" w:space="0" w:color="4472C4" w:themeColor="accent1"/>
        </w:tcBorders>
      </w:tcPr>
    </w:tblStylePr>
    <w:tblStylePr w:type="firstCol">
      <w:rPr>
        <w:b/>
      </w:rPr>
    </w:tblStylePr>
    <w:tblStylePr w:type="lastCol">
      <w:rPr>
        <w:b/>
      </w:r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b/>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shd w:val="clear" w:color="F4B184" w:fill="F4B184" w:themeFill="accent2" w:themeFillTint="97"/>
      </w:tcPr>
    </w:tblStylePr>
    <w:tblStylePr w:type="lastRow">
      <w:rPr>
        <w:b/>
      </w:rPr>
      <w:tblPr/>
      <w:tcPr>
        <w:tcBorders>
          <w:top w:val="single" w:sz="4" w:space="0" w:color="ED7D31" w:themeColor="accent2"/>
        </w:tcBorders>
      </w:tcPr>
    </w:tblStylePr>
    <w:tblStylePr w:type="firstCol">
      <w:rPr>
        <w:b/>
      </w:rPr>
    </w:tblStylePr>
    <w:tblStylePr w:type="lastCol">
      <w:rPr>
        <w:b/>
      </w:r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b/>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shd w:val="clear" w:color="A5A5A5" w:fill="A5A5A5" w:themeFill="accent3" w:themeFillTint="FE"/>
      </w:tcPr>
    </w:tblStylePr>
    <w:tblStylePr w:type="lastRow">
      <w:rPr>
        <w:b/>
      </w:rPr>
      <w:tblPr/>
      <w:tcPr>
        <w:tcBorders>
          <w:top w:val="single" w:sz="4" w:space="0" w:color="A5A5A5" w:themeColor="accent3"/>
        </w:tcBorders>
      </w:tcPr>
    </w:tblStylePr>
    <w:tblStylePr w:type="firstCol">
      <w:rPr>
        <w:b/>
      </w:rPr>
    </w:tblStylePr>
    <w:tblStylePr w:type="lastCol">
      <w:rPr>
        <w:b/>
      </w:r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b/>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shd w:val="clear" w:color="FFD865" w:fill="FFD865" w:themeFill="accent4" w:themeFillTint="9A"/>
      </w:tcPr>
    </w:tblStylePr>
    <w:tblStylePr w:type="lastRow">
      <w:rPr>
        <w:b/>
      </w:rPr>
      <w:tblPr/>
      <w:tcPr>
        <w:tcBorders>
          <w:top w:val="single" w:sz="4" w:space="0" w:color="FFC000" w:themeColor="accent4"/>
        </w:tcBorders>
      </w:tcPr>
    </w:tblStylePr>
    <w:tblStylePr w:type="firstCol">
      <w:rPr>
        <w:b/>
      </w:rPr>
    </w:tblStylePr>
    <w:tblStylePr w:type="lastCol">
      <w:rPr>
        <w:b/>
      </w:r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fill="5B9BD5" w:themeFill="accent5"/>
      </w:tcPr>
    </w:tblStylePr>
    <w:tblStylePr w:type="lastRow">
      <w:rPr>
        <w:b/>
      </w:rPr>
      <w:tblPr/>
      <w:tcPr>
        <w:tcBorders>
          <w:top w:val="single" w:sz="4" w:space="0" w:color="5B9BD5" w:themeColor="accent5"/>
        </w:tcBorders>
      </w:tcPr>
    </w:tblStylePr>
    <w:tblStylePr w:type="firstCol">
      <w:rPr>
        <w:b/>
      </w:rPr>
    </w:tblStylePr>
    <w:tblStylePr w:type="lastCol">
      <w:rPr>
        <w:b/>
      </w:r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fill="70AD47" w:themeFill="accent6"/>
      </w:tcPr>
    </w:tblStylePr>
    <w:tblStylePr w:type="lastRow">
      <w:rPr>
        <w:b/>
      </w:rPr>
      <w:tblPr/>
      <w:tcPr>
        <w:tcBorders>
          <w:top w:val="single" w:sz="4" w:space="0" w:color="70AD47" w:themeColor="accent6"/>
        </w:tcBorders>
      </w:tcPr>
    </w:tblStylePr>
    <w:tblStylePr w:type="firstCol">
      <w:rPr>
        <w:b/>
      </w:rPr>
    </w:tblStylePr>
    <w:tblStylePr w:type="lastCol">
      <w:rPr>
        <w:b/>
      </w:r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000000" w:fill="000000" w:themeFill="text1"/>
      </w:tcPr>
    </w:tblStylePr>
    <w:tblStylePr w:type="lastRow">
      <w:rPr>
        <w:b/>
        <w:sz w:val="22"/>
      </w:rPr>
      <w:tblPr/>
      <w:tcPr>
        <w:tcBorders>
          <w:top w:val="single" w:sz="4" w:space="0" w:color="FFFFFF" w:themeColor="light1"/>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4472C4" w:fill="4472C4" w:themeFill="accent1"/>
      </w:tcPr>
    </w:tblStylePr>
    <w:tblStylePr w:type="lastRow">
      <w:rPr>
        <w:b/>
        <w:sz w:val="22"/>
      </w:rPr>
      <w:tblPr/>
      <w:tcPr>
        <w:tcBorders>
          <w:top w:val="single" w:sz="4" w:space="0" w:color="FFFFFF" w:themeColor="light1"/>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ED7D31" w:fill="ED7D31" w:themeFill="accent2"/>
      </w:tcPr>
    </w:tblStylePr>
    <w:tblStylePr w:type="lastRow">
      <w:rPr>
        <w:b/>
        <w:sz w:val="22"/>
      </w:rPr>
      <w:tblPr/>
      <w:tcPr>
        <w:tcBorders>
          <w:top w:val="single" w:sz="4" w:space="0" w:color="FFFFFF" w:themeColor="light1"/>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A5A5A5" w:fill="A5A5A5" w:themeFill="accent3"/>
      </w:tcPr>
    </w:tblStylePr>
    <w:tblStylePr w:type="lastRow">
      <w:rPr>
        <w:b/>
        <w:sz w:val="22"/>
      </w:rPr>
      <w:tblPr/>
      <w:tcPr>
        <w:tcBorders>
          <w:top w:val="single" w:sz="4" w:space="0" w:color="FFFFFF" w:themeColor="light1"/>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FFC000" w:fill="FFC000" w:themeFill="accent4"/>
      </w:tcPr>
    </w:tblStylePr>
    <w:tblStylePr w:type="lastRow">
      <w:rPr>
        <w:b/>
        <w:sz w:val="22"/>
      </w:rPr>
      <w:tblPr/>
      <w:tcPr>
        <w:tcBorders>
          <w:top w:val="single" w:sz="4" w:space="0" w:color="FFFFFF" w:themeColor="light1"/>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5B9BD5" w:fill="5B9BD5" w:themeFill="accent5"/>
      </w:tcPr>
    </w:tblStylePr>
    <w:tblStylePr w:type="lastRow">
      <w:rPr>
        <w:b/>
        <w:sz w:val="22"/>
      </w:rPr>
      <w:tblPr/>
      <w:tcPr>
        <w:tcBorders>
          <w:top w:val="single" w:sz="4" w:space="0" w:color="FFFFFF" w:themeColor="light1"/>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tblPr>
    <w:tblStylePr w:type="firstRow">
      <w:rPr>
        <w:b/>
        <w:sz w:val="22"/>
      </w:rPr>
      <w:tblPr/>
      <w:tcPr>
        <w:shd w:val="clear" w:color="70AD47" w:fill="70AD47" w:themeFill="accent6"/>
      </w:tcPr>
    </w:tblStylePr>
    <w:tblStylePr w:type="lastRow">
      <w:rPr>
        <w:b/>
        <w:sz w:val="22"/>
      </w:rPr>
      <w:tblPr/>
      <w:tcPr>
        <w:tcBorders>
          <w:top w:val="single" w:sz="4" w:space="0" w:color="FFFFFF" w:themeColor="light1"/>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000000" w:themeColor="text1"/>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fill="CBCBCB" w:themeFill="text1" w:themeFillTint="34"/>
      </w:tcPr>
    </w:tblStylePr>
    <w:tblStylePr w:type="band1Horz">
      <w:rPr>
        <w:color w:val="7F7F7F" w:themeColor="text1" w:themeTint="80" w:themeShade="95"/>
        <w:sz w:val="22"/>
      </w:rPr>
      <w:tblPr/>
      <w:tcPr>
        <w:shd w:val="clear" w:color="CBCBCB" w:fill="CBCBCB" w:themeFill="text1" w:themeFillTint="34"/>
      </w:tcPr>
    </w:tblStylePr>
    <w:tblStylePr w:type="band2Horz">
      <w:rPr>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4472C4" w:themeColor="accent1"/>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ED7D31" w:themeColor="accent2"/>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C000" w:themeColor="accent4"/>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fill="E1EFD8" w:themeFill="accent6" w:themeFillTint="34"/>
      </w:tcPr>
    </w:tblStylePr>
    <w:tblStylePr w:type="band1Horz">
      <w:rPr>
        <w:color w:val="245A8D" w:themeColor="accent5" w:themeShade="95"/>
        <w:sz w:val="22"/>
      </w:rPr>
      <w:tblPr/>
      <w:tcPr>
        <w:shd w:val="clear" w:color="E1EFD8" w:fill="E1EFD8" w:themeFill="accent6" w:themeFillTint="34"/>
      </w:tcPr>
    </w:tblStylePr>
    <w:tblStylePr w:type="band2Horz">
      <w:rPr>
        <w:color w:val="245A8D" w:themeColor="accent5" w:themeShade="95"/>
        <w:sz w:val="22"/>
      </w:rPr>
    </w:tblStylePr>
  </w:style>
  <w:style w:type="table" w:styleId="-7">
    <w:name w:val="Grid Table 7 Colorful"/>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b/>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F2F2F2" w:fill="F2F2F2" w:themeFill="text1" w:themeFillTint="0D"/>
      </w:tcPr>
    </w:tblStylePr>
    <w:tblStylePr w:type="band1Horz">
      <w:rPr>
        <w:color w:val="7F7F7F" w:themeColor="text1" w:themeTint="80" w:themeShade="95"/>
        <w:sz w:val="22"/>
      </w:rPr>
      <w:tblPr/>
      <w:tcPr>
        <w:shd w:val="clear" w:color="F2F2F2" w:fill="F2F2F2" w:themeFill="text1" w:themeFillTint="0D"/>
      </w:tcPr>
    </w:tblStylePr>
    <w:tblStylePr w:type="band2Horz">
      <w:rPr>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b/>
        <w:color w:val="A0B7E1" w:themeColor="accent1" w:themeTint="80"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0B7E1" w:themeColor="accent1" w:themeTint="80"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A0B7E1" w:themeColor="accent1" w:themeTint="80"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D8E2F3" w:fill="D8E2F3" w:themeFill="accent1" w:themeFillTint="34"/>
      </w:tcPr>
    </w:tblStylePr>
    <w:tblStylePr w:type="band1Horz">
      <w:rPr>
        <w:color w:val="A0B7E1" w:themeColor="accent1" w:themeTint="80" w:themeShade="95"/>
        <w:sz w:val="22"/>
      </w:rPr>
      <w:tblPr/>
      <w:tcPr>
        <w:shd w:val="clear" w:color="D8E2F3" w:fill="D8E2F3" w:themeFill="accent1" w:themeFillTint="34"/>
      </w:tcPr>
    </w:tblStylePr>
    <w:tblStylePr w:type="band2Horz">
      <w:rPr>
        <w:color w:val="A0B7E1"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b/>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BE5D6" w:fill="FBE5D6" w:themeFill="accent2" w:themeFillTint="32"/>
      </w:tcPr>
    </w:tblStylePr>
    <w:tblStylePr w:type="band1Horz">
      <w:rPr>
        <w:color w:val="F4B184" w:themeColor="accent2" w:themeTint="97" w:themeShade="95"/>
        <w:sz w:val="22"/>
      </w:rPr>
      <w:tblPr/>
      <w:tcPr>
        <w:shd w:val="clear" w:color="FBE5D6" w:fill="FBE5D6" w:themeFill="accent2" w:themeFillTint="32"/>
      </w:tcPr>
    </w:tblStylePr>
    <w:tblStylePr w:type="band2Horz">
      <w:rPr>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b/>
        <w:color w:val="A5A5A5" w:themeColor="accent3" w:themeTint="FE"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5A5A5" w:themeColor="accent3" w:themeTint="FE"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A5A5A5" w:themeColor="accent3" w:themeTint="FE"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CECEC" w:fill="ECECEC" w:themeFill="accent3" w:themeFillTint="34"/>
      </w:tcPr>
    </w:tblStylePr>
    <w:tblStylePr w:type="band1Horz">
      <w:rPr>
        <w:color w:val="A5A5A5" w:themeColor="accent3" w:themeTint="FE" w:themeShade="95"/>
        <w:sz w:val="22"/>
      </w:rPr>
      <w:tblPr/>
      <w:tcPr>
        <w:shd w:val="clear" w:color="ECECEC" w:fill="ECECEC" w:themeFill="accent3" w:themeFillTint="34"/>
      </w:tcPr>
    </w:tblStylePr>
    <w:tblStylePr w:type="band2Horz">
      <w:rPr>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b/>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F2CB" w:fill="FFF2CB" w:themeFill="accent4" w:themeFillTint="34"/>
      </w:tcPr>
    </w:tblStylePr>
    <w:tblStylePr w:type="band1Horz">
      <w:rPr>
        <w:color w:val="FFD865" w:themeColor="accent4" w:themeTint="9A" w:themeShade="95"/>
        <w:sz w:val="22"/>
      </w:rPr>
      <w:tblPr/>
      <w:tcPr>
        <w:shd w:val="clear" w:color="FFF2CB" w:fill="FFF2CB" w:themeFill="accent4" w:themeFillTint="34"/>
      </w:tcPr>
    </w:tblStylePr>
    <w:tblStylePr w:type="band2Horz">
      <w:rPr>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b/>
        <w:color w:val="245A8D" w:themeColor="accent5"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b/>
        <w:color w:val="245A8D" w:themeColor="accent5"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45A8D" w:themeColor="accent5"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245A8D" w:themeColor="accent5"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DEAF6" w:fill="DDEAF6" w:themeFill="accent5" w:themeFillTint="34"/>
      </w:tcPr>
    </w:tblStylePr>
    <w:tblStylePr w:type="band1Horz">
      <w:rPr>
        <w:color w:val="245A8D" w:themeColor="accent5" w:themeShade="95"/>
        <w:sz w:val="22"/>
      </w:rPr>
      <w:tblPr/>
      <w:tcPr>
        <w:shd w:val="clear" w:color="DDEAF6" w:fill="DDEAF6" w:themeFill="accent5" w:themeFillTint="34"/>
      </w:tcPr>
    </w:tblStylePr>
    <w:tblStylePr w:type="band2Horz">
      <w:rPr>
        <w:color w:val="245A8D"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b/>
        <w:color w:val="416429" w:themeColor="accent6"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b/>
        <w:color w:val="416429" w:themeColor="accent6"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416429" w:themeColor="accent6"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416429" w:themeColor="accent6"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E1EFD8" w:fill="E1EFD8" w:themeFill="accent6" w:themeFillTint="34"/>
      </w:tcPr>
    </w:tblStylePr>
    <w:tblStylePr w:type="band1Horz">
      <w:rPr>
        <w:color w:val="416429" w:themeColor="accent6" w:themeShade="95"/>
        <w:sz w:val="22"/>
      </w:rPr>
      <w:tblPr/>
      <w:tcPr>
        <w:shd w:val="clear" w:color="E1EFD8" w:fill="E1EFD8" w:themeFill="accent6" w:themeFillTint="34"/>
      </w:tcPr>
    </w:tblStylePr>
    <w:tblStylePr w:type="band2Horz">
      <w:rPr>
        <w:color w:val="416429" w:themeColor="accent6" w:themeShade="95"/>
        <w:sz w:val="22"/>
      </w:rPr>
    </w:tblStylePr>
  </w:style>
  <w:style w:type="table" w:styleId="-10">
    <w:name w:val="List Table 1 Light"/>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000000" w:themeColor="text1"/>
          <w:right w:val="none" w:sz="4" w:space="0" w:color="000000"/>
        </w:tcBorders>
      </w:tcPr>
    </w:tblStylePr>
    <w:tblStylePr w:type="lastRow">
      <w:rPr>
        <w:b/>
      </w:rPr>
      <w:tblPr/>
      <w:tcPr>
        <w:tcBorders>
          <w:top w:val="single" w:sz="4" w:space="0" w:color="000000" w:themeColor="tex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rPr>
    </w:tblStylePr>
    <w:tblStylePr w:type="lastCol">
      <w:rPr>
        <w:b/>
      </w:r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lastRow">
      <w:rPr>
        <w:b/>
        <w:sz w:val="22"/>
      </w:rPr>
      <w:tblPr/>
      <w:tcPr>
        <w:tcBorders>
          <w:top w:val="single" w:sz="4" w:space="0" w:color="000000" w:themeColor="text1"/>
          <w:left w:val="none" w:sz="4" w:space="0" w:color="000000"/>
          <w:bottom w:val="single" w:sz="4" w:space="0" w:color="000000" w:themeColor="text1"/>
          <w:right w:val="none" w:sz="4" w:space="0" w:color="000000"/>
        </w:tcBorders>
      </w:tcPr>
    </w:tblStylePr>
    <w:tblStylePr w:type="firstCol">
      <w:rPr>
        <w:b/>
        <w:sz w:val="22"/>
      </w:rPr>
    </w:tblStylePr>
    <w:tblStylePr w:type="lastCol">
      <w:rPr>
        <w:b/>
        <w:sz w:val="22"/>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lastRow">
      <w:rPr>
        <w:b/>
        <w:sz w:val="22"/>
      </w:rPr>
      <w:tblPr/>
      <w:tcPr>
        <w:tcBorders>
          <w:top w:val="single" w:sz="4" w:space="0" w:color="4472C4" w:themeColor="accent1"/>
          <w:left w:val="none" w:sz="4" w:space="0" w:color="000000"/>
          <w:bottom w:val="single" w:sz="4" w:space="0" w:color="4472C4" w:themeColor="accent1"/>
          <w:right w:val="none" w:sz="4" w:space="0" w:color="000000"/>
        </w:tcBorders>
      </w:tcPr>
    </w:tblStylePr>
    <w:tblStylePr w:type="firstCol">
      <w:rPr>
        <w:b/>
        <w:sz w:val="22"/>
      </w:rPr>
    </w:tblStylePr>
    <w:tblStylePr w:type="lastCol">
      <w:rPr>
        <w:b/>
        <w:sz w:val="22"/>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lastRow">
      <w:rPr>
        <w:b/>
        <w:sz w:val="22"/>
      </w:rPr>
      <w:tblPr/>
      <w:tcPr>
        <w:tcBorders>
          <w:top w:val="single" w:sz="4" w:space="0" w:color="ED7D31" w:themeColor="accent2"/>
          <w:left w:val="none" w:sz="4" w:space="0" w:color="000000"/>
          <w:bottom w:val="single" w:sz="4" w:space="0" w:color="ED7D31" w:themeColor="accent2"/>
          <w:right w:val="none" w:sz="4" w:space="0" w:color="000000"/>
        </w:tcBorders>
      </w:tcPr>
    </w:tblStylePr>
    <w:tblStylePr w:type="firstCol">
      <w:rPr>
        <w:b/>
        <w:sz w:val="22"/>
      </w:rPr>
    </w:tblStylePr>
    <w:tblStylePr w:type="lastCol">
      <w:rPr>
        <w:b/>
        <w:sz w:val="22"/>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lastRow">
      <w:rPr>
        <w:b/>
        <w:sz w:val="22"/>
      </w:rPr>
      <w:tblPr/>
      <w:tcPr>
        <w:tcBorders>
          <w:top w:val="single" w:sz="4" w:space="0" w:color="A5A5A5" w:themeColor="accent3"/>
          <w:left w:val="none" w:sz="4" w:space="0" w:color="000000"/>
          <w:bottom w:val="single" w:sz="4" w:space="0" w:color="A5A5A5" w:themeColor="accent3"/>
          <w:right w:val="none" w:sz="4" w:space="0" w:color="000000"/>
        </w:tcBorders>
      </w:tcPr>
    </w:tblStylePr>
    <w:tblStylePr w:type="firstCol">
      <w:rPr>
        <w:b/>
        <w:sz w:val="22"/>
      </w:rPr>
    </w:tblStylePr>
    <w:tblStylePr w:type="lastCol">
      <w:rPr>
        <w:b/>
        <w:sz w:val="22"/>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lastRow">
      <w:rPr>
        <w:b/>
        <w:sz w:val="22"/>
      </w:rPr>
      <w:tblPr/>
      <w:tcPr>
        <w:tcBorders>
          <w:top w:val="single" w:sz="4" w:space="0" w:color="FFC000" w:themeColor="accent4"/>
          <w:left w:val="none" w:sz="4" w:space="0" w:color="000000"/>
          <w:bottom w:val="single" w:sz="4" w:space="0" w:color="FFC000" w:themeColor="accent4"/>
          <w:right w:val="none" w:sz="4" w:space="0" w:color="000000"/>
        </w:tcBorders>
      </w:tcPr>
    </w:tblStylePr>
    <w:tblStylePr w:type="firstCol">
      <w:rPr>
        <w:b/>
        <w:sz w:val="22"/>
      </w:rPr>
    </w:tblStylePr>
    <w:tblStylePr w:type="lastCol">
      <w:rPr>
        <w:b/>
        <w:sz w:val="22"/>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lastRow">
      <w:rPr>
        <w:b/>
        <w:sz w:val="22"/>
      </w:rPr>
      <w:tblPr/>
      <w:tcPr>
        <w:tcBorders>
          <w:top w:val="single" w:sz="4" w:space="0" w:color="5B9BD5" w:themeColor="accent5"/>
          <w:left w:val="none" w:sz="4" w:space="0" w:color="000000"/>
          <w:bottom w:val="single" w:sz="4" w:space="0" w:color="5B9BD5" w:themeColor="accent5"/>
          <w:right w:val="none" w:sz="4" w:space="0" w:color="000000"/>
        </w:tcBorders>
      </w:tcPr>
    </w:tblStylePr>
    <w:tblStylePr w:type="firstCol">
      <w:rPr>
        <w:b/>
        <w:sz w:val="22"/>
      </w:rPr>
    </w:tblStylePr>
    <w:tblStylePr w:type="lastCol">
      <w:rPr>
        <w:b/>
        <w:sz w:val="22"/>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lastRow">
      <w:rPr>
        <w:b/>
        <w:sz w:val="22"/>
      </w:rPr>
      <w:tblPr/>
      <w:tcPr>
        <w:tcBorders>
          <w:top w:val="single" w:sz="4" w:space="0" w:color="70AD47" w:themeColor="accent6"/>
          <w:left w:val="none" w:sz="4" w:space="0" w:color="000000"/>
          <w:bottom w:val="single" w:sz="4" w:space="0" w:color="70AD47" w:themeColor="accent6"/>
          <w:right w:val="none" w:sz="4" w:space="0" w:color="000000"/>
        </w:tcBorders>
      </w:tcPr>
    </w:tblStylePr>
    <w:tblStylePr w:type="firstCol">
      <w:rPr>
        <w:b/>
        <w:sz w:val="22"/>
      </w:rPr>
    </w:tblStylePr>
    <w:tblStylePr w:type="lastCol">
      <w:rPr>
        <w:b/>
        <w:sz w:val="22"/>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000000" w:themeColor="text1"/>
          <w:right w:val="single" w:sz="4" w:space="0" w:color="000000" w:themeColor="text1"/>
        </w:tcBorders>
      </w:tcPr>
    </w:tblStylePr>
    <w:tblStylePr w:type="band1Horz">
      <w:rPr>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tcBorders>
          <w:left w:val="single" w:sz="4" w:space="0" w:color="4472C4" w:themeColor="accent1"/>
          <w:right w:val="single" w:sz="4" w:space="0" w:color="4472C4" w:themeColor="accent1"/>
        </w:tcBorders>
      </w:tcPr>
    </w:tblStylePr>
    <w:tblStylePr w:type="band1Horz">
      <w:rPr>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b/>
        <w:sz w:val="22"/>
      </w:rPr>
      <w:tblPr/>
      <w:tcPr>
        <w:shd w:val="clear" w:color="F4B184" w:fill="F4B184" w:themeFill="accent2" w:themeFillTint="97"/>
      </w:tcPr>
    </w:tblStylePr>
    <w:tblStylePr w:type="lastRow">
      <w:rPr>
        <w:b/>
      </w:rPr>
    </w:tblStylePr>
    <w:tblStylePr w:type="firstCol">
      <w:rPr>
        <w:b/>
      </w:rPr>
    </w:tblStylePr>
    <w:tblStylePr w:type="lastCol">
      <w:rPr>
        <w:b/>
      </w:rPr>
    </w:tblStylePr>
    <w:tblStylePr w:type="band1Vert">
      <w:rPr>
        <w:sz w:val="22"/>
      </w:rPr>
      <w:tblPr/>
      <w:tcPr>
        <w:tcBorders>
          <w:left w:val="single" w:sz="4" w:space="0" w:color="ED7D31" w:themeColor="accent2"/>
          <w:right w:val="single" w:sz="4" w:space="0" w:color="ED7D31" w:themeColor="accent2"/>
        </w:tcBorders>
      </w:tcPr>
    </w:tblStylePr>
    <w:tblStylePr w:type="band1Horz">
      <w:rPr>
        <w:sz w:val="22"/>
      </w:rPr>
      <w:tblPr/>
      <w:tcPr>
        <w:tcBorders>
          <w:top w:val="single" w:sz="4" w:space="0" w:color="ED7D31" w:themeColor="accent2"/>
          <w:bottom w:val="single" w:sz="4" w:space="0" w:color="ED7D31" w:themeColor="accent2"/>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b/>
        <w:sz w:val="22"/>
      </w:rPr>
      <w:tblPr/>
      <w:tcPr>
        <w:shd w:val="clear" w:color="C9C9C9" w:fill="C9C9C9" w:themeFill="accent3"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A5A5A5" w:themeColor="accent3"/>
          <w:right w:val="single" w:sz="4" w:space="0" w:color="A5A5A5" w:themeColor="accent3"/>
        </w:tcBorders>
      </w:tcPr>
    </w:tblStylePr>
    <w:tblStylePr w:type="band1Horz">
      <w:rPr>
        <w:sz w:val="22"/>
      </w:rPr>
      <w:tblPr/>
      <w:tcPr>
        <w:tcBorders>
          <w:top w:val="single" w:sz="4" w:space="0" w:color="A5A5A5" w:themeColor="accent3"/>
          <w:bottom w:val="single" w:sz="4" w:space="0" w:color="A5A5A5" w:themeColor="accent3"/>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b/>
        <w:sz w:val="22"/>
      </w:rPr>
      <w:tblPr/>
      <w:tcPr>
        <w:shd w:val="clear" w:color="FFD865" w:fill="FFD865" w:themeFill="accent4"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FFC000" w:themeColor="accent4"/>
          <w:right w:val="single" w:sz="4" w:space="0" w:color="FFC000" w:themeColor="accent4"/>
        </w:tcBorders>
      </w:tcPr>
    </w:tblStylePr>
    <w:tblStylePr w:type="band1Horz">
      <w:rPr>
        <w:sz w:val="22"/>
      </w:rPr>
      <w:tblPr/>
      <w:tcPr>
        <w:tcBorders>
          <w:top w:val="single" w:sz="4" w:space="0" w:color="FFC000" w:themeColor="accent4"/>
          <w:bottom w:val="single" w:sz="4" w:space="0" w:color="FFC000" w:themeColor="accent4"/>
        </w:tcBorders>
      </w:tcPr>
    </w:tblStylePr>
  </w:style>
  <w:style w:type="table" w:customStyle="1" w:styleId="ListTable3-Accent5">
    <w:name w:val="List Table 3 - Accent 5"/>
    <w:basedOn w:val="a1"/>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b/>
        <w:sz w:val="22"/>
      </w:rPr>
      <w:tblPr/>
      <w:tcPr>
        <w:shd w:val="clear" w:color="9BC2E5" w:fill="9BC2E5" w:themeFill="accent5" w:themeFillTint="9A"/>
      </w:tcPr>
    </w:tblStylePr>
    <w:tblStylePr w:type="lastRow">
      <w:rPr>
        <w:b/>
      </w:rPr>
    </w:tblStylePr>
    <w:tblStylePr w:type="firstCol">
      <w:rPr>
        <w:b/>
      </w:rPr>
    </w:tblStylePr>
    <w:tblStylePr w:type="lastCol">
      <w:rPr>
        <w:b/>
      </w:rPr>
    </w:tblStylePr>
    <w:tblStylePr w:type="band1Vert">
      <w:rPr>
        <w:sz w:val="22"/>
      </w:rPr>
      <w:tblPr/>
      <w:tcPr>
        <w:tcBorders>
          <w:left w:val="single" w:sz="4" w:space="0" w:color="5B9BD5" w:themeColor="accent5"/>
          <w:right w:val="single" w:sz="4" w:space="0" w:color="5B9BD5" w:themeColor="accent5"/>
        </w:tcBorders>
      </w:tcPr>
    </w:tblStylePr>
    <w:tblStylePr w:type="band1Horz">
      <w:rPr>
        <w:sz w:val="22"/>
      </w:rPr>
      <w:tblPr/>
      <w:tcPr>
        <w:tcBorders>
          <w:top w:val="single" w:sz="4" w:space="0" w:color="5B9BD5" w:themeColor="accent5"/>
          <w:bottom w:val="single" w:sz="4" w:space="0" w:color="5B9BD5" w:themeColor="accent5"/>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b/>
        <w:sz w:val="22"/>
      </w:rPr>
      <w:tblPr/>
      <w:tcPr>
        <w:shd w:val="clear" w:color="A9D08E" w:fill="A9D08E" w:themeFill="accent6" w:themeFillTint="98"/>
      </w:tcPr>
    </w:tblStylePr>
    <w:tblStylePr w:type="lastRow">
      <w:rPr>
        <w:b/>
      </w:rPr>
    </w:tblStylePr>
    <w:tblStylePr w:type="firstCol">
      <w:rPr>
        <w:b/>
      </w:rPr>
    </w:tblStylePr>
    <w:tblStylePr w:type="lastCol">
      <w:rPr>
        <w:b/>
      </w:rPr>
    </w:tblStylePr>
    <w:tblStylePr w:type="band1Vert">
      <w:rPr>
        <w:sz w:val="22"/>
      </w:rPr>
      <w:tblPr/>
      <w:tcPr>
        <w:tcBorders>
          <w:left w:val="single" w:sz="4" w:space="0" w:color="70AD47" w:themeColor="accent6"/>
          <w:right w:val="single" w:sz="4" w:space="0" w:color="70AD47" w:themeColor="accent6"/>
        </w:tcBorders>
      </w:tcPr>
    </w:tblStylePr>
    <w:tblStylePr w:type="band1Horz">
      <w:rPr>
        <w:sz w:val="22"/>
      </w:rPr>
      <w:tblPr/>
      <w:tcPr>
        <w:tcBorders>
          <w:top w:val="single" w:sz="4" w:space="0" w:color="70AD47" w:themeColor="accent6"/>
          <w:bottom w:val="single" w:sz="4" w:space="0" w:color="70AD47" w:themeColor="accent6"/>
        </w:tcBorders>
      </w:tcPr>
    </w:tblStylePr>
  </w:style>
  <w:style w:type="table" w:styleId="-40">
    <w:name w:val="List Table 4"/>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b/>
        <w:sz w:val="22"/>
      </w:rPr>
      <w:tblPr/>
      <w:tcPr>
        <w:shd w:val="clear" w:color="000000" w:fill="000000" w:themeFill="text1"/>
      </w:tcPr>
    </w:tblStylePr>
    <w:tblStylePr w:type="lastRow">
      <w:rPr>
        <w:b/>
      </w:rPr>
    </w:tblStylePr>
    <w:tblStylePr w:type="firstCol">
      <w:rPr>
        <w:b/>
      </w:rPr>
    </w:tblStylePr>
    <w:tblStylePr w:type="lastCol">
      <w:rPr>
        <w:b/>
      </w:r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b/>
        <w:sz w:val="22"/>
      </w:rPr>
      <w:tblPr/>
      <w:tcPr>
        <w:shd w:val="clear" w:color="4472C4" w:fill="4472C4" w:themeFill="accent1"/>
      </w:tcPr>
    </w:tblStylePr>
    <w:tblStylePr w:type="lastRow">
      <w:rPr>
        <w:b/>
      </w:rPr>
    </w:tblStylePr>
    <w:tblStylePr w:type="firstCol">
      <w:rPr>
        <w:b/>
      </w:rPr>
    </w:tblStylePr>
    <w:tblStylePr w:type="lastCol">
      <w:rPr>
        <w:b/>
      </w:r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b/>
        <w:sz w:val="22"/>
      </w:rPr>
      <w:tblPr/>
      <w:tcPr>
        <w:shd w:val="clear" w:color="ED7D31" w:fill="ED7D31" w:themeFill="accent2"/>
      </w:tcPr>
    </w:tblStylePr>
    <w:tblStylePr w:type="lastRow">
      <w:rPr>
        <w:b/>
      </w:rPr>
    </w:tblStylePr>
    <w:tblStylePr w:type="firstCol">
      <w:rPr>
        <w:b/>
      </w:rPr>
    </w:tblStylePr>
    <w:tblStylePr w:type="lastCol">
      <w:rPr>
        <w:b/>
      </w:r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b/>
        <w:sz w:val="22"/>
      </w:rPr>
      <w:tblPr/>
      <w:tcPr>
        <w:shd w:val="clear" w:color="A5A5A5" w:fill="A5A5A5" w:themeFill="accent3"/>
      </w:tcPr>
    </w:tblStylePr>
    <w:tblStylePr w:type="lastRow">
      <w:rPr>
        <w:b/>
      </w:rPr>
    </w:tblStylePr>
    <w:tblStylePr w:type="firstCol">
      <w:rPr>
        <w:b/>
      </w:rPr>
    </w:tblStylePr>
    <w:tblStylePr w:type="lastCol">
      <w:rPr>
        <w:b/>
      </w:r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b/>
        <w:sz w:val="22"/>
      </w:rPr>
      <w:tblPr/>
      <w:tcPr>
        <w:shd w:val="clear" w:color="FFC000" w:fill="FFC000" w:themeFill="accent4"/>
      </w:tcPr>
    </w:tblStylePr>
    <w:tblStylePr w:type="lastRow">
      <w:rPr>
        <w:b/>
      </w:rPr>
    </w:tblStylePr>
    <w:tblStylePr w:type="firstCol">
      <w:rPr>
        <w:b/>
      </w:rPr>
    </w:tblStylePr>
    <w:tblStylePr w:type="lastCol">
      <w:rPr>
        <w:b/>
      </w:r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b/>
        <w:sz w:val="22"/>
      </w:rPr>
      <w:tblPr/>
      <w:tcPr>
        <w:shd w:val="clear" w:color="5B9BD5" w:fill="5B9BD5" w:themeFill="accent5"/>
      </w:tcPr>
    </w:tblStylePr>
    <w:tblStylePr w:type="lastRow">
      <w:rPr>
        <w:b/>
      </w:rPr>
    </w:tblStylePr>
    <w:tblStylePr w:type="firstCol">
      <w:rPr>
        <w:b/>
      </w:rPr>
    </w:tblStylePr>
    <w:tblStylePr w:type="lastCol">
      <w:rPr>
        <w:b/>
      </w:r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b/>
        <w:sz w:val="22"/>
      </w:rPr>
      <w:tblPr/>
      <w:tcPr>
        <w:shd w:val="clear" w:color="70AD47" w:fill="70AD47" w:themeFill="accent6"/>
      </w:tcPr>
    </w:tblStylePr>
    <w:tblStylePr w:type="lastRow">
      <w:rPr>
        <w:b/>
      </w:rPr>
    </w:tblStylePr>
    <w:tblStylePr w:type="firstCol">
      <w:rPr>
        <w:b/>
      </w:rPr>
    </w:tblStylePr>
    <w:tblStylePr w:type="lastCol">
      <w:rPr>
        <w:b/>
      </w:r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tblPr>
    <w:tblStylePr w:type="firstRow">
      <w:rPr>
        <w:b/>
        <w:color w:val="FFFFFF" w:themeColor="light1"/>
        <w:sz w:val="22"/>
      </w:rPr>
      <w:tblPr/>
      <w:tcPr>
        <w:tcBorders>
          <w:top w:val="single" w:sz="32" w:space="0" w:color="000000" w:themeColor="text1"/>
          <w:bottom w:val="single" w:sz="12" w:space="0" w:color="FFFFFF" w:themeColor="light1"/>
        </w:tcBorders>
        <w:shd w:val="clear" w:color="7F7F7F" w:fill="7F7F7F" w:themeFill="text1" w:themeFillTint="80"/>
      </w:tcPr>
    </w:tblStylePr>
    <w:tblStylePr w:type="lastRow">
      <w:rPr>
        <w:b/>
        <w:color w:val="FFFFFF" w:themeColor="light1"/>
        <w:sz w:val="22"/>
      </w:rPr>
    </w:tblStylePr>
    <w:tblStylePr w:type="firstCol">
      <w:rPr>
        <w:b/>
        <w:color w:val="FFFFFF" w:themeColor="light1"/>
        <w:sz w:val="22"/>
      </w:rPr>
      <w:tblPr/>
      <w:tcPr>
        <w:tcBorders>
          <w:left w:val="single" w:sz="32" w:space="0" w:color="000000" w:themeColor="text1"/>
          <w:right w:val="single" w:sz="4" w:space="0" w:color="FFFFFF" w:themeColor="light1"/>
        </w:tcBorders>
      </w:tcPr>
    </w:tblStylePr>
    <w:tblStylePr w:type="lastCol">
      <w:tblPr/>
      <w:tcPr>
        <w:tcBorders>
          <w:left w:val="single" w:sz="4" w:space="0" w:color="FFFFFF" w:themeColor="light1"/>
          <w:right w:val="single" w:sz="32" w:space="0" w:color="000000" w:themeColor="text1"/>
        </w:tcBorders>
      </w:tcPr>
    </w:tblStylePr>
    <w:tblStylePr w:type="band1Vert">
      <w:tblPr/>
      <w:tcPr>
        <w:tcBorders>
          <w:left w:val="single" w:sz="4" w:space="0" w:color="FFFFFF" w:themeColor="light1"/>
          <w:right w:val="single" w:sz="4" w:space="0" w:color="FFFFFF" w:themeColor="light1"/>
        </w:tcBorders>
        <w:shd w:val="clear" w:color="7F7F7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fill="7F7F7F" w:themeFill="text1" w:themeFillTint="80"/>
      </w:tcPr>
    </w:tblStylePr>
    <w:tblStylePr w:type="band2Horz">
      <w:tblPr/>
      <w:tcPr>
        <w:tcBorders>
          <w:top w:val="single" w:sz="4" w:space="0" w:color="FFFFFF" w:themeColor="light1"/>
          <w:bottom w:val="single" w:sz="4" w:space="0" w:color="FFFFFF" w:themeColor="light1"/>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tblPr>
    <w:tblStylePr w:type="firstRow">
      <w:rPr>
        <w:b/>
        <w:color w:val="FFFFFF" w:themeColor="light1"/>
        <w:sz w:val="22"/>
      </w:rPr>
      <w:tblPr/>
      <w:tcPr>
        <w:tcBorders>
          <w:top w:val="single" w:sz="32" w:space="0" w:color="4472C4" w:themeColor="accent1"/>
          <w:bottom w:val="single" w:sz="12" w:space="0" w:color="FFFFFF" w:themeColor="light1"/>
        </w:tcBorders>
        <w:shd w:val="clear" w:color="4472C4" w:fill="4472C4" w:themeFill="accent1"/>
      </w:tcPr>
    </w:tblStylePr>
    <w:tblStylePr w:type="lastRow">
      <w:rPr>
        <w:b/>
        <w:color w:val="FFFFFF" w:themeColor="light1"/>
        <w:sz w:val="22"/>
      </w:rPr>
    </w:tblStylePr>
    <w:tblStylePr w:type="firstCol">
      <w:rPr>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fill="4472C4" w:themeFill="accent1"/>
      </w:tcPr>
    </w:tblStylePr>
    <w:tblStylePr w:type="band2Horz">
      <w:tblPr/>
      <w:tcPr>
        <w:tcBorders>
          <w:top w:val="single" w:sz="4" w:space="0" w:color="FFFFFF" w:themeColor="light1"/>
          <w:bottom w:val="single" w:sz="4" w:space="0" w:color="FFFFFF" w:themeColor="light1"/>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tblPr>
    <w:tblStylePr w:type="firstRow">
      <w:rPr>
        <w:b/>
        <w:color w:val="FFFFFF" w:themeColor="light1"/>
        <w:sz w:val="22"/>
      </w:rPr>
      <w:tblPr/>
      <w:tcPr>
        <w:tcBorders>
          <w:top w:val="single" w:sz="32" w:space="0" w:color="ED7D31" w:themeColor="accent2"/>
          <w:bottom w:val="single" w:sz="12" w:space="0" w:color="FFFFFF" w:themeColor="light1"/>
        </w:tcBorders>
        <w:shd w:val="clear" w:color="F4B184" w:fill="F4B184" w:themeFill="accent2" w:themeFillTint="97"/>
      </w:tcPr>
    </w:tblStylePr>
    <w:tblStylePr w:type="lastRow">
      <w:rPr>
        <w:b/>
        <w:color w:val="FFFFFF" w:themeColor="light1"/>
        <w:sz w:val="22"/>
      </w:rPr>
    </w:tblStylePr>
    <w:tblStylePr w:type="firstCol">
      <w:rPr>
        <w:b/>
        <w:color w:val="FFFFFF" w:themeColor="light1"/>
        <w:sz w:val="22"/>
      </w:rPr>
      <w:tblPr/>
      <w:tcPr>
        <w:tcBorders>
          <w:left w:val="single" w:sz="32" w:space="0" w:color="ED7D31" w:themeColor="accent2"/>
          <w:right w:val="single" w:sz="4" w:space="0" w:color="FFFFFF" w:themeColor="light1"/>
        </w:tcBorders>
      </w:tcPr>
    </w:tblStylePr>
    <w:tblStylePr w:type="lastCol">
      <w:tblPr/>
      <w:tcPr>
        <w:tcBorders>
          <w:left w:val="single" w:sz="4" w:space="0" w:color="FFFFFF" w:themeColor="light1"/>
          <w:right w:val="single" w:sz="32" w:space="0" w:color="ED7D31" w:themeColor="accent2"/>
        </w:tcBorders>
      </w:tcPr>
    </w:tblStylePr>
    <w:tblStylePr w:type="band1Vert">
      <w:tblPr/>
      <w:tcPr>
        <w:tcBorders>
          <w:left w:val="single" w:sz="4" w:space="0" w:color="FFFFFF" w:themeColor="light1"/>
          <w:right w:val="single" w:sz="4" w:space="0" w:color="FFFFFF" w:themeColor="light1"/>
        </w:tcBorders>
        <w:shd w:val="clear" w:color="F4B184"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tblPr>
    <w:tblStylePr w:type="firstRow">
      <w:rPr>
        <w:b/>
        <w:color w:val="FFFFFF" w:themeColor="light1"/>
        <w:sz w:val="22"/>
      </w:rPr>
      <w:tblPr/>
      <w:tcPr>
        <w:tcBorders>
          <w:top w:val="single" w:sz="32" w:space="0" w:color="A5A5A5" w:themeColor="accent3"/>
          <w:bottom w:val="single" w:sz="12" w:space="0" w:color="FFFFFF" w:themeColor="light1"/>
        </w:tcBorders>
        <w:shd w:val="clear" w:color="C9C9C9" w:fill="C9C9C9" w:themeFill="accent3"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A5A5A5" w:themeColor="accent3"/>
          <w:right w:val="single" w:sz="4" w:space="0" w:color="FFFFFF" w:themeColor="light1"/>
        </w:tcBorders>
      </w:tcPr>
    </w:tblStylePr>
    <w:tblStylePr w:type="lastCol">
      <w:tblPr/>
      <w:tcPr>
        <w:tcBorders>
          <w:left w:val="single" w:sz="4" w:space="0" w:color="FFFFFF" w:themeColor="light1"/>
          <w:right w:val="single" w:sz="32" w:space="0" w:color="A5A5A5" w:themeColor="accent3"/>
        </w:tcBorders>
      </w:tcPr>
    </w:tblStylePr>
    <w:tblStylePr w:type="band1Vert">
      <w:tblPr/>
      <w:tcPr>
        <w:tcBorders>
          <w:left w:val="single" w:sz="4" w:space="0" w:color="FFFFFF" w:themeColor="light1"/>
          <w:right w:val="single" w:sz="4" w:space="0" w:color="FFFFFF" w:themeColor="light1"/>
        </w:tcBorders>
        <w:shd w:val="clear" w:color="C9C9C9"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tblPr>
    <w:tblStylePr w:type="firstRow">
      <w:rPr>
        <w:b/>
        <w:color w:val="FFFFFF" w:themeColor="light1"/>
        <w:sz w:val="22"/>
      </w:rPr>
      <w:tblPr/>
      <w:tcPr>
        <w:tcBorders>
          <w:top w:val="single" w:sz="32" w:space="0" w:color="FFC000" w:themeColor="accent4"/>
          <w:bottom w:val="single" w:sz="12" w:space="0" w:color="FFFFFF" w:themeColor="light1"/>
        </w:tcBorders>
        <w:shd w:val="clear" w:color="FFD865" w:fill="FFD865" w:themeFill="accent4"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FFC000" w:themeColor="accent4"/>
          <w:right w:val="single" w:sz="4" w:space="0" w:color="FFFFFF" w:themeColor="light1"/>
        </w:tcBorders>
      </w:tcPr>
    </w:tblStylePr>
    <w:tblStylePr w:type="lastCol">
      <w:tblPr/>
      <w:tcPr>
        <w:tcBorders>
          <w:left w:val="single" w:sz="4" w:space="0" w:color="FFFFFF" w:themeColor="light1"/>
          <w:right w:val="single" w:sz="32" w:space="0" w:color="FFC000" w:themeColor="accent4"/>
        </w:tcBorders>
      </w:tcPr>
    </w:tblStylePr>
    <w:tblStylePr w:type="band1Vert">
      <w:tblPr/>
      <w:tcPr>
        <w:tcBorders>
          <w:left w:val="single" w:sz="4" w:space="0" w:color="FFFFFF" w:themeColor="light1"/>
          <w:right w:val="single" w:sz="4" w:space="0" w:color="FFFFFF" w:themeColor="light1"/>
        </w:tcBorders>
        <w:shd w:val="clear" w:color="FFD865"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tblPr>
    <w:tblStylePr w:type="firstRow">
      <w:rPr>
        <w:b/>
        <w:color w:val="FFFFFF" w:themeColor="light1"/>
        <w:sz w:val="22"/>
      </w:rPr>
      <w:tblPr/>
      <w:tcPr>
        <w:tcBorders>
          <w:top w:val="single" w:sz="32" w:space="0" w:color="5B9BD5" w:themeColor="accent5"/>
          <w:bottom w:val="single" w:sz="12" w:space="0" w:color="FFFFFF" w:themeColor="light1"/>
        </w:tcBorders>
        <w:shd w:val="clear" w:color="9BC2E5" w:fill="9BC2E5" w:themeFill="accent5" w:themeFillTint="9A"/>
      </w:tcPr>
    </w:tblStylePr>
    <w:tblStylePr w:type="lastRow">
      <w:rPr>
        <w:b/>
        <w:color w:val="FFFFFF" w:themeColor="light1"/>
        <w:sz w:val="22"/>
      </w:rPr>
    </w:tblStylePr>
    <w:tblStylePr w:type="firstCol">
      <w:rPr>
        <w:b/>
        <w:color w:val="FFFFFF" w:themeColor="light1"/>
        <w:sz w:val="22"/>
      </w:rPr>
      <w:tblPr/>
      <w:tcPr>
        <w:tcBorders>
          <w:left w:val="single" w:sz="32" w:space="0" w:color="5B9BD5" w:themeColor="accent5"/>
          <w:right w:val="single" w:sz="4" w:space="0" w:color="FFFFFF" w:themeColor="light1"/>
        </w:tcBorders>
      </w:tcPr>
    </w:tblStylePr>
    <w:tblStylePr w:type="lastCol">
      <w:tblPr/>
      <w:tcPr>
        <w:tcBorders>
          <w:left w:val="single" w:sz="4" w:space="0" w:color="FFFFFF" w:themeColor="light1"/>
          <w:right w:val="single" w:sz="32" w:space="0" w:color="5B9BD5" w:themeColor="accent5"/>
        </w:tcBorders>
      </w:tcPr>
    </w:tblStylePr>
    <w:tblStylePr w:type="band1Vert">
      <w:tblPr/>
      <w:tcPr>
        <w:tcBorders>
          <w:left w:val="single" w:sz="4" w:space="0" w:color="FFFFFF" w:themeColor="light1"/>
          <w:right w:val="single" w:sz="4" w:space="0" w:color="FFFFFF" w:themeColor="light1"/>
        </w:tcBorders>
        <w:shd w:val="clear" w:color="9BC2E5"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tblPr>
    <w:tblStylePr w:type="firstRow">
      <w:rPr>
        <w:b/>
        <w:color w:val="FFFFFF" w:themeColor="light1"/>
        <w:sz w:val="22"/>
      </w:rPr>
      <w:tblPr/>
      <w:tcPr>
        <w:tcBorders>
          <w:top w:val="single" w:sz="32" w:space="0" w:color="70AD47" w:themeColor="accent6"/>
          <w:bottom w:val="single" w:sz="12" w:space="0" w:color="FFFFFF" w:themeColor="light1"/>
        </w:tcBorders>
        <w:shd w:val="clear" w:color="A9D08E" w:fill="A9D08E" w:themeFill="accent6" w:themeFillTint="98"/>
      </w:tcPr>
    </w:tblStylePr>
    <w:tblStylePr w:type="lastRow">
      <w:rPr>
        <w:b/>
        <w:color w:val="FFFFFF" w:themeColor="light1"/>
        <w:sz w:val="22"/>
      </w:rPr>
    </w:tblStylePr>
    <w:tblStylePr w:type="firstCol">
      <w:rPr>
        <w:b/>
        <w:color w:val="FFFFFF" w:themeColor="light1"/>
        <w:sz w:val="22"/>
      </w:rPr>
      <w:tblPr/>
      <w:tcPr>
        <w:tcBorders>
          <w:left w:val="single" w:sz="32" w:space="0" w:color="70AD47" w:themeColor="accent6"/>
          <w:right w:val="single" w:sz="4" w:space="0" w:color="FFFFFF" w:themeColor="light1"/>
        </w:tcBorders>
      </w:tcPr>
    </w:tblStylePr>
    <w:tblStylePr w:type="lastCol">
      <w:tblPr/>
      <w:tcPr>
        <w:tcBorders>
          <w:left w:val="single" w:sz="4" w:space="0" w:color="FFFFFF" w:themeColor="light1"/>
          <w:right w:val="single" w:sz="32" w:space="0" w:color="70AD47" w:themeColor="accent6"/>
        </w:tcBorders>
      </w:tcPr>
    </w:tblStylePr>
    <w:tblStylePr w:type="band1Vert">
      <w:tblPr/>
      <w:tcPr>
        <w:tcBorders>
          <w:left w:val="single" w:sz="4" w:space="0" w:color="FFFFFF" w:themeColor="light1"/>
          <w:right w:val="single" w:sz="4" w:space="0" w:color="FFFFFF" w:themeColor="light1"/>
        </w:tcBorders>
        <w:shd w:val="clear" w:color="A9D08E"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000000" w:themeColor="text1"/>
        </w:tcBorders>
      </w:tcPr>
    </w:tblStylePr>
    <w:tblStylePr w:type="lastRow">
      <w:rPr>
        <w:b/>
        <w:color w:val="000000" w:themeColor="text1"/>
      </w:rPr>
      <w:tblPr/>
      <w:tcPr>
        <w:tcBorders>
          <w:top w:val="single" w:sz="4" w:space="0" w:color="000000" w:themeColor="text1"/>
        </w:tcBorders>
      </w:tcPr>
    </w:tblStylePr>
    <w:tblStylePr w:type="firstCol">
      <w:rPr>
        <w:b/>
        <w:color w:val="000000" w:themeColor="text1"/>
      </w:rPr>
    </w:tblStylePr>
    <w:tblStylePr w:type="lastCol">
      <w:rPr>
        <w:b/>
        <w:color w:val="000000" w:themeColor="text1"/>
      </w:rPr>
    </w:tblStylePr>
    <w:tblStylePr w:type="band1Vert">
      <w:tblPr/>
      <w:tcPr>
        <w:shd w:val="clear" w:color="BFBFBF" w:fill="BFBFBF" w:themeFill="text1" w:themeFillTint="40"/>
      </w:tcPr>
    </w:tblStylePr>
    <w:tblStylePr w:type="band1Horz">
      <w:rPr>
        <w:color w:val="000000" w:themeColor="text1"/>
        <w:sz w:val="22"/>
      </w:rPr>
      <w:tblPr/>
      <w:tcPr>
        <w:shd w:val="clear" w:color="BFBFBF" w:fill="BFBFBF" w:themeFill="text1" w:themeFillTint="40"/>
      </w:tcPr>
    </w:tblStylePr>
    <w:tblStylePr w:type="band2Horz">
      <w:rPr>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ED7D31" w:themeColor="accent2"/>
        </w:tcBorders>
      </w:tcPr>
    </w:tblStylePr>
    <w:tblStylePr w:type="lastRow">
      <w:rPr>
        <w:b/>
        <w:color w:val="F4B184" w:themeColor="accent2" w:themeTint="97" w:themeShade="95"/>
      </w:rPr>
      <w:tblPr/>
      <w:tcPr>
        <w:tcBorders>
          <w:top w:val="single" w:sz="4" w:space="0" w:color="ED7D31" w:themeColor="accent2"/>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A5A5A5" w:themeColor="accent3"/>
        </w:tcBorders>
      </w:tcPr>
    </w:tblStylePr>
    <w:tblStylePr w:type="lastRow">
      <w:rPr>
        <w:b/>
        <w:color w:val="C9C9C9" w:themeColor="accent3" w:themeTint="98" w:themeShade="95"/>
      </w:rPr>
      <w:tblPr/>
      <w:tcPr>
        <w:tcBorders>
          <w:top w:val="single" w:sz="4" w:space="0" w:color="A5A5A5" w:themeColor="accent3"/>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C000" w:themeColor="accent4"/>
        </w:tcBorders>
      </w:tcPr>
    </w:tblStylePr>
    <w:tblStylePr w:type="lastRow">
      <w:rPr>
        <w:b/>
        <w:color w:val="FFD865" w:themeColor="accent4" w:themeTint="9A" w:themeShade="95"/>
      </w:rPr>
      <w:tblPr/>
      <w:tcPr>
        <w:tcBorders>
          <w:top w:val="single" w:sz="4" w:space="0" w:color="FFC000" w:themeColor="accent4"/>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5B9BD5" w:themeColor="accent5"/>
        </w:tcBorders>
      </w:tcPr>
    </w:tblStylePr>
    <w:tblStylePr w:type="lastRow">
      <w:rPr>
        <w:b/>
        <w:color w:val="9BC2E5" w:themeColor="accent5" w:themeTint="9A" w:themeShade="95"/>
      </w:rPr>
      <w:tblPr/>
      <w:tcPr>
        <w:tcBorders>
          <w:top w:val="single" w:sz="4" w:space="0" w:color="5B9BD5" w:themeColor="accent5"/>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70AD47" w:themeColor="accent6"/>
        </w:tcBorders>
      </w:tcPr>
    </w:tblStylePr>
    <w:tblStylePr w:type="lastRow">
      <w:rPr>
        <w:b/>
        <w:color w:val="A9D08E" w:themeColor="accent6" w:themeTint="98" w:themeShade="95"/>
      </w:rPr>
      <w:tblPr/>
      <w:tcPr>
        <w:tcBorders>
          <w:top w:val="single" w:sz="4" w:space="0" w:color="70AD47" w:themeColor="accent6"/>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styleId="-70">
    <w:name w:val="List Table 7 Colorful"/>
    <w:basedOn w:val="a1"/>
    <w:uiPriority w:val="99"/>
    <w:tblPr>
      <w:tblStyleRowBandSize w:val="1"/>
      <w:tblStyleColBandSize w:val="1"/>
      <w:tblBorders>
        <w:right w:val="single" w:sz="4" w:space="0" w:color="7F7F7F" w:themeColor="text1" w:themeTint="80"/>
      </w:tblBorders>
    </w:tblPr>
    <w:tblStylePr w:type="firstRow">
      <w:rPr>
        <w:i/>
        <w:color w:val="7F7F7F" w:themeColor="text1" w:themeTint="80" w:themeShade="95"/>
        <w:sz w:val="22"/>
      </w:rPr>
      <w:tblPr/>
      <w:tcPr>
        <w:tcBorders>
          <w:top w:val="none" w:sz="4" w:space="0" w:color="000000"/>
          <w:left w:val="none" w:sz="4" w:space="0" w:color="000000"/>
          <w:bottom w:val="single" w:sz="4" w:space="0" w:color="000000" w:themeColor="text1"/>
          <w:right w:val="none" w:sz="4" w:space="0" w:color="000000"/>
        </w:tcBorders>
        <w:shd w:val="clear" w:color="FFFFFF" w:fill="FFFFFF" w:themeFill="light1"/>
      </w:tcPr>
    </w:tblStylePr>
    <w:tblStylePr w:type="lastRow">
      <w:rPr>
        <w:i/>
        <w:color w:val="7F7F7F" w:themeColor="text1" w:themeTint="80" w:themeShade="95"/>
        <w:sz w:val="22"/>
      </w:rPr>
      <w:tblPr/>
      <w:tcPr>
        <w:tcBorders>
          <w:top w:val="single" w:sz="4" w:space="0" w:color="000000" w:themeColor="tex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7F7F7F" w:themeColor="text1" w:themeTint="80" w:themeShade="95"/>
        <w:sz w:val="22"/>
      </w:rPr>
      <w:tblPr/>
      <w:tcPr>
        <w:tcBorders>
          <w:top w:val="none" w:sz="4" w:space="0" w:color="000000"/>
          <w:left w:val="none" w:sz="4" w:space="0" w:color="000000"/>
          <w:bottom w:val="none" w:sz="4" w:space="0" w:color="000000"/>
          <w:right w:val="single" w:sz="4" w:space="0" w:color="000000" w:themeColor="text1"/>
        </w:tcBorders>
        <w:shd w:val="clear" w:color="FFFFFF" w:fill="auto"/>
      </w:tcPr>
    </w:tblStylePr>
    <w:tblStylePr w:type="lastCol">
      <w:rPr>
        <w:i/>
        <w:color w:val="7F7F7F" w:themeColor="text1" w:themeTint="80" w:themeShade="95"/>
        <w:sz w:val="22"/>
      </w:rPr>
      <w:tblPr/>
      <w:tcPr>
        <w:tcBorders>
          <w:top w:val="none" w:sz="4" w:space="0" w:color="000000"/>
          <w:left w:val="single" w:sz="4" w:space="0" w:color="000000" w:themeColor="text1"/>
          <w:bottom w:val="none" w:sz="4" w:space="0" w:color="000000"/>
          <w:right w:val="none" w:sz="4" w:space="0" w:color="000000"/>
        </w:tcBorders>
        <w:shd w:val="clear" w:color="FFFFFF" w:fill="auto"/>
      </w:tcPr>
    </w:tblStylePr>
    <w:tblStylePr w:type="band1Vert">
      <w:tblPr/>
      <w:tcPr>
        <w:shd w:val="clear" w:color="BFBFBF" w:fill="BFBFBF" w:themeFill="text1" w:themeFillTint="40"/>
      </w:tcPr>
    </w:tblStylePr>
    <w:tblStylePr w:type="band1Horz">
      <w:rPr>
        <w:color w:val="7F7F7F" w:themeColor="text1" w:themeTint="80" w:themeShade="95"/>
        <w:sz w:val="22"/>
      </w:rPr>
      <w:tblPr/>
      <w:tcPr>
        <w:shd w:val="clear" w:color="BFBFBF" w:fill="BFBFBF" w:themeFill="text1" w:themeFillTint="40"/>
      </w:tcPr>
    </w:tblStylePr>
    <w:tblStylePr w:type="band2Horz">
      <w:rPr>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472C4" w:themeColor="accent1"/>
      </w:tblBorders>
    </w:tblPr>
    <w:tblStylePr w:type="firstRow">
      <w:rPr>
        <w:i/>
        <w:color w:val="254175" w:themeColor="accent1" w:themeShade="95"/>
        <w:sz w:val="22"/>
      </w:rPr>
      <w:tblPr/>
      <w:tcPr>
        <w:tcBorders>
          <w:top w:val="none" w:sz="4" w:space="0" w:color="000000"/>
          <w:left w:val="none" w:sz="4" w:space="0" w:color="000000"/>
          <w:bottom w:val="single" w:sz="4" w:space="0" w:color="4472C4" w:themeColor="accent1"/>
          <w:right w:val="none" w:sz="4" w:space="0" w:color="000000"/>
        </w:tcBorders>
        <w:shd w:val="clear" w:color="FFFFFF" w:fill="FFFFFF" w:themeFill="light1"/>
      </w:tcPr>
    </w:tblStylePr>
    <w:tblStylePr w:type="lastRow">
      <w:rPr>
        <w:i/>
        <w:color w:val="254175" w:themeColor="accent1" w:themeShade="95"/>
        <w:sz w:val="22"/>
      </w:rPr>
      <w:tblPr/>
      <w:tcPr>
        <w:tcBorders>
          <w:top w:val="single" w:sz="4" w:space="0" w:color="4472C4"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254175" w:themeColor="accent1" w:themeShade="95"/>
        <w:sz w:val="22"/>
      </w:rPr>
      <w:tblPr/>
      <w:tcPr>
        <w:tcBorders>
          <w:top w:val="none" w:sz="4" w:space="0" w:color="000000"/>
          <w:left w:val="none" w:sz="4" w:space="0" w:color="000000"/>
          <w:bottom w:val="none" w:sz="4" w:space="0" w:color="000000"/>
          <w:right w:val="single" w:sz="4" w:space="0" w:color="4472C4" w:themeColor="accent1"/>
        </w:tcBorders>
        <w:shd w:val="clear" w:color="FFFFFF" w:fill="auto"/>
      </w:tcPr>
    </w:tblStylePr>
    <w:tblStylePr w:type="lastCol">
      <w:rPr>
        <w:i/>
        <w:color w:val="254175" w:themeColor="accent1" w:themeShade="95"/>
        <w:sz w:val="22"/>
      </w:rPr>
      <w:tblPr/>
      <w:tcPr>
        <w:tcBorders>
          <w:top w:val="none" w:sz="4" w:space="0" w:color="000000"/>
          <w:left w:val="single" w:sz="4" w:space="0" w:color="4472C4" w:themeColor="accent1"/>
          <w:bottom w:val="none" w:sz="4" w:space="0" w:color="000000"/>
          <w:right w:val="none" w:sz="4" w:space="0" w:color="000000"/>
        </w:tcBorders>
        <w:shd w:val="clear" w:color="FFFFFF" w:fill="auto"/>
      </w:tcPr>
    </w:tblStylePr>
    <w:tblStylePr w:type="band1Vert">
      <w:tblPr/>
      <w:tcPr>
        <w:shd w:val="clear" w:color="CFDBF0" w:fill="CFDBF0" w:themeFill="accent1" w:themeFillTint="40"/>
      </w:tcPr>
    </w:tblStylePr>
    <w:tblStylePr w:type="band1Horz">
      <w:rPr>
        <w:color w:val="254175" w:themeColor="accent1" w:themeShade="95"/>
        <w:sz w:val="22"/>
      </w:rPr>
      <w:tblPr/>
      <w:tcPr>
        <w:shd w:val="clear" w:color="CFDBF0" w:fill="CFDBF0" w:themeFill="accent1" w:themeFillTint="40"/>
      </w:tcPr>
    </w:tblStylePr>
    <w:tblStylePr w:type="band2Horz">
      <w:rPr>
        <w:color w:val="254175"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i/>
        <w:color w:val="F4B184" w:themeColor="accent2" w:themeTint="97" w:themeShade="95"/>
        <w:sz w:val="22"/>
      </w:rPr>
      <w:tblPr/>
      <w:tcPr>
        <w:tcBorders>
          <w:top w:val="none" w:sz="4" w:space="0" w:color="000000"/>
          <w:left w:val="none" w:sz="4" w:space="0" w:color="000000"/>
          <w:bottom w:val="single" w:sz="4" w:space="0" w:color="ED7D31" w:themeColor="accent2"/>
          <w:right w:val="none" w:sz="4" w:space="0" w:color="000000"/>
        </w:tcBorders>
        <w:shd w:val="clear" w:color="FFFFFF" w:fill="FFFFFF" w:themeFill="light1"/>
      </w:tcPr>
    </w:tblStylePr>
    <w:tblStylePr w:type="lastRow">
      <w:rPr>
        <w:i/>
        <w:color w:val="F4B184" w:themeColor="accent2" w:themeTint="97" w:themeShade="95"/>
        <w:sz w:val="22"/>
      </w:rPr>
      <w:tblPr/>
      <w:tcPr>
        <w:tcBorders>
          <w:top w:val="single" w:sz="4" w:space="0" w:color="ED7D31" w:themeColor="accent2"/>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4B184" w:themeColor="accent2" w:themeTint="97" w:themeShade="95"/>
        <w:sz w:val="22"/>
      </w:rPr>
      <w:tblPr/>
      <w:tcPr>
        <w:tcBorders>
          <w:top w:val="none" w:sz="4" w:space="0" w:color="000000"/>
          <w:left w:val="none" w:sz="4" w:space="0" w:color="000000"/>
          <w:bottom w:val="none" w:sz="4" w:space="0" w:color="000000"/>
          <w:right w:val="single" w:sz="4" w:space="0" w:color="ED7D31" w:themeColor="accent2"/>
        </w:tcBorders>
        <w:shd w:val="clear" w:color="FFFFFF" w:fill="auto"/>
      </w:tcPr>
    </w:tblStylePr>
    <w:tblStylePr w:type="lastCol">
      <w:rPr>
        <w:i/>
        <w:color w:val="F4B184" w:themeColor="accent2" w:themeTint="97" w:themeShade="95"/>
        <w:sz w:val="22"/>
      </w:rPr>
      <w:tblPr/>
      <w:tcPr>
        <w:tcBorders>
          <w:top w:val="none" w:sz="4" w:space="0" w:color="000000"/>
          <w:left w:val="single" w:sz="4" w:space="0" w:color="ED7D31" w:themeColor="accent2"/>
          <w:bottom w:val="none" w:sz="4" w:space="0" w:color="000000"/>
          <w:right w:val="none" w:sz="4" w:space="0" w:color="000000"/>
        </w:tcBorders>
        <w:shd w:val="clear" w:color="FFFFFF" w:fill="auto"/>
      </w:tcPr>
    </w:tblStylePr>
    <w:tblStylePr w:type="band1Vert">
      <w:tblPr/>
      <w:tcPr>
        <w:shd w:val="clear" w:color="FADECB" w:fill="FADECB" w:themeFill="accent2" w:themeFillTint="40"/>
      </w:tcPr>
    </w:tblStylePr>
    <w:tblStylePr w:type="band1Horz">
      <w:rPr>
        <w:color w:val="F4B184" w:themeColor="accent2" w:themeTint="97" w:themeShade="95"/>
        <w:sz w:val="22"/>
      </w:rPr>
      <w:tblPr/>
      <w:tcPr>
        <w:shd w:val="clear" w:color="FADECB" w:fill="FADECB" w:themeFill="accent2" w:themeFillTint="40"/>
      </w:tcPr>
    </w:tblStylePr>
    <w:tblStylePr w:type="band2Horz">
      <w:rPr>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i/>
        <w:color w:val="C9C9C9" w:themeColor="accent3" w:themeTint="98" w:themeShade="95"/>
        <w:sz w:val="22"/>
      </w:rPr>
      <w:tblPr/>
      <w:tcPr>
        <w:tcBorders>
          <w:top w:val="none" w:sz="4" w:space="0" w:color="000000"/>
          <w:left w:val="none" w:sz="4" w:space="0" w:color="000000"/>
          <w:bottom w:val="single" w:sz="4" w:space="0" w:color="A5A5A5" w:themeColor="accent3"/>
          <w:right w:val="none" w:sz="4" w:space="0" w:color="000000"/>
        </w:tcBorders>
        <w:shd w:val="clear" w:color="FFFFFF" w:fill="FFFFFF" w:themeFill="light1"/>
      </w:tcPr>
    </w:tblStylePr>
    <w:tblStylePr w:type="lastRow">
      <w:rPr>
        <w:i/>
        <w:color w:val="C9C9C9" w:themeColor="accent3" w:themeTint="98" w:themeShade="95"/>
        <w:sz w:val="22"/>
      </w:rPr>
      <w:tblPr/>
      <w:tcPr>
        <w:tcBorders>
          <w:top w:val="single" w:sz="4" w:space="0" w:color="A5A5A5" w:themeColor="accent3"/>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C9C9C9" w:themeColor="accent3" w:themeTint="98" w:themeShade="95"/>
        <w:sz w:val="22"/>
      </w:rPr>
      <w:tblPr/>
      <w:tcPr>
        <w:tcBorders>
          <w:top w:val="none" w:sz="4" w:space="0" w:color="000000"/>
          <w:left w:val="none" w:sz="4" w:space="0" w:color="000000"/>
          <w:bottom w:val="none" w:sz="4" w:space="0" w:color="000000"/>
          <w:right w:val="single" w:sz="4" w:space="0" w:color="A5A5A5" w:themeColor="accent3"/>
        </w:tcBorders>
        <w:shd w:val="clear" w:color="FFFFFF" w:fill="auto"/>
      </w:tcPr>
    </w:tblStylePr>
    <w:tblStylePr w:type="lastCol">
      <w:rPr>
        <w:i/>
        <w:color w:val="C9C9C9" w:themeColor="accent3" w:themeTint="98" w:themeShade="95"/>
        <w:sz w:val="22"/>
      </w:rPr>
      <w:tblPr/>
      <w:tcPr>
        <w:tcBorders>
          <w:top w:val="none" w:sz="4" w:space="0" w:color="000000"/>
          <w:left w:val="single" w:sz="4" w:space="0" w:color="A5A5A5" w:themeColor="accent3"/>
          <w:bottom w:val="none" w:sz="4" w:space="0" w:color="000000"/>
          <w:right w:val="none" w:sz="4" w:space="0" w:color="000000"/>
        </w:tcBorders>
        <w:shd w:val="clear" w:color="FFFFFF" w:fill="auto"/>
      </w:tcPr>
    </w:tblStylePr>
    <w:tblStylePr w:type="band1Vert">
      <w:tblPr/>
      <w:tcPr>
        <w:shd w:val="clear" w:color="E8E8E8" w:fill="E8E8E8" w:themeFill="accent3" w:themeFillTint="40"/>
      </w:tcPr>
    </w:tblStylePr>
    <w:tblStylePr w:type="band1Horz">
      <w:rPr>
        <w:color w:val="C9C9C9" w:themeColor="accent3" w:themeTint="98" w:themeShade="95"/>
        <w:sz w:val="22"/>
      </w:rPr>
      <w:tblPr/>
      <w:tcPr>
        <w:shd w:val="clear" w:color="E8E8E8" w:fill="E8E8E8" w:themeFill="accent3" w:themeFillTint="40"/>
      </w:tcPr>
    </w:tblStylePr>
    <w:tblStylePr w:type="band2Horz">
      <w:rPr>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i/>
        <w:color w:val="FFD865" w:themeColor="accent4" w:themeTint="9A" w:themeShade="95"/>
        <w:sz w:val="22"/>
      </w:rPr>
      <w:tblPr/>
      <w:tcPr>
        <w:tcBorders>
          <w:top w:val="none" w:sz="4" w:space="0" w:color="000000"/>
          <w:left w:val="none" w:sz="4" w:space="0" w:color="000000"/>
          <w:bottom w:val="single" w:sz="4" w:space="0" w:color="FFC000" w:themeColor="accent4"/>
          <w:right w:val="none" w:sz="4" w:space="0" w:color="000000"/>
        </w:tcBorders>
        <w:shd w:val="clear" w:color="FFFFFF" w:fill="FFFFFF" w:themeFill="light1"/>
      </w:tcPr>
    </w:tblStylePr>
    <w:tblStylePr w:type="lastRow">
      <w:rPr>
        <w:i/>
        <w:color w:val="FFD865" w:themeColor="accent4" w:themeTint="9A" w:themeShade="95"/>
        <w:sz w:val="22"/>
      </w:rPr>
      <w:tblPr/>
      <w:tcPr>
        <w:tcBorders>
          <w:top w:val="single" w:sz="4" w:space="0" w:color="FFC000" w:themeColor="accent4"/>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FFD865" w:themeColor="accent4" w:themeTint="9A" w:themeShade="95"/>
        <w:sz w:val="22"/>
      </w:rPr>
      <w:tblPr/>
      <w:tcPr>
        <w:tcBorders>
          <w:top w:val="none" w:sz="4" w:space="0" w:color="000000"/>
          <w:left w:val="none" w:sz="4" w:space="0" w:color="000000"/>
          <w:bottom w:val="none" w:sz="4" w:space="0" w:color="000000"/>
          <w:right w:val="single" w:sz="4" w:space="0" w:color="FFC000" w:themeColor="accent4"/>
        </w:tcBorders>
        <w:shd w:val="clear" w:color="FFFFFF" w:fill="auto"/>
      </w:tcPr>
    </w:tblStylePr>
    <w:tblStylePr w:type="lastCol">
      <w:rPr>
        <w:i/>
        <w:color w:val="FFD865" w:themeColor="accent4" w:themeTint="9A" w:themeShade="95"/>
        <w:sz w:val="22"/>
      </w:rPr>
      <w:tblPr/>
      <w:tcPr>
        <w:tcBorders>
          <w:top w:val="none" w:sz="4" w:space="0" w:color="000000"/>
          <w:left w:val="single" w:sz="4" w:space="0" w:color="FFC000" w:themeColor="accent4"/>
          <w:bottom w:val="none" w:sz="4" w:space="0" w:color="000000"/>
          <w:right w:val="none" w:sz="4" w:space="0" w:color="000000"/>
        </w:tcBorders>
        <w:shd w:val="clear" w:color="FFFFFF" w:fill="auto"/>
      </w:tcPr>
    </w:tblStylePr>
    <w:tblStylePr w:type="band1Vert">
      <w:tblPr/>
      <w:tcPr>
        <w:shd w:val="clear" w:color="FFEFBF" w:fill="FFEFBF" w:themeFill="accent4" w:themeFillTint="40"/>
      </w:tcPr>
    </w:tblStylePr>
    <w:tblStylePr w:type="band1Horz">
      <w:rPr>
        <w:color w:val="FFD865" w:themeColor="accent4" w:themeTint="9A" w:themeShade="95"/>
        <w:sz w:val="22"/>
      </w:rPr>
      <w:tblPr/>
      <w:tcPr>
        <w:shd w:val="clear" w:color="FFEFBF" w:fill="FFEFBF" w:themeFill="accent4" w:themeFillTint="40"/>
      </w:tcPr>
    </w:tblStylePr>
    <w:tblStylePr w:type="band2Horz">
      <w:rPr>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BC2E5" w:themeColor="accent5" w:themeTint="9A"/>
      </w:tblBorders>
    </w:tblPr>
    <w:tblStylePr w:type="firstRow">
      <w:rPr>
        <w:i/>
        <w:color w:val="9BC2E5" w:themeColor="accent5" w:themeTint="9A" w:themeShade="95"/>
        <w:sz w:val="22"/>
      </w:rPr>
      <w:tblPr/>
      <w:tcPr>
        <w:tcBorders>
          <w:top w:val="none" w:sz="4" w:space="0" w:color="000000"/>
          <w:left w:val="none" w:sz="4" w:space="0" w:color="000000"/>
          <w:bottom w:val="single" w:sz="4" w:space="0" w:color="5B9BD5" w:themeColor="accent5"/>
          <w:right w:val="none" w:sz="4" w:space="0" w:color="000000"/>
        </w:tcBorders>
        <w:shd w:val="clear" w:color="FFFFFF" w:fill="FFFFFF" w:themeFill="light1"/>
      </w:tcPr>
    </w:tblStylePr>
    <w:tblStylePr w:type="lastRow">
      <w:rPr>
        <w:i/>
        <w:color w:val="9BC2E5" w:themeColor="accent5" w:themeTint="9A" w:themeShade="95"/>
        <w:sz w:val="22"/>
      </w:rPr>
      <w:tblPr/>
      <w:tcPr>
        <w:tcBorders>
          <w:top w:val="single" w:sz="4" w:space="0" w:color="5B9BD5" w:themeColor="accent5"/>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9BC2E5" w:themeColor="accent5" w:themeTint="9A" w:themeShade="95"/>
        <w:sz w:val="22"/>
      </w:rPr>
      <w:tblPr/>
      <w:tcPr>
        <w:tcBorders>
          <w:top w:val="none" w:sz="4" w:space="0" w:color="000000"/>
          <w:left w:val="none" w:sz="4" w:space="0" w:color="000000"/>
          <w:bottom w:val="none" w:sz="4" w:space="0" w:color="000000"/>
          <w:right w:val="single" w:sz="4" w:space="0" w:color="5B9BD5" w:themeColor="accent5"/>
        </w:tcBorders>
        <w:shd w:val="clear" w:color="FFFFFF" w:fill="auto"/>
      </w:tcPr>
    </w:tblStylePr>
    <w:tblStylePr w:type="lastCol">
      <w:rPr>
        <w:i/>
        <w:color w:val="9BC2E5" w:themeColor="accent5" w:themeTint="9A" w:themeShade="95"/>
        <w:sz w:val="22"/>
      </w:rPr>
      <w:tblPr/>
      <w:tcPr>
        <w:tcBorders>
          <w:top w:val="none" w:sz="4" w:space="0" w:color="000000"/>
          <w:left w:val="single" w:sz="4" w:space="0" w:color="5B9BD5" w:themeColor="accent5"/>
          <w:bottom w:val="none" w:sz="4" w:space="0" w:color="000000"/>
          <w:right w:val="none" w:sz="4" w:space="0" w:color="000000"/>
        </w:tcBorders>
        <w:shd w:val="clear" w:color="FFFFFF" w:fill="auto"/>
      </w:tcPr>
    </w:tblStylePr>
    <w:tblStylePr w:type="band1Vert">
      <w:tblPr/>
      <w:tcPr>
        <w:shd w:val="clear" w:color="D5E5F4" w:fill="D5E5F4" w:themeFill="accent5" w:themeFillTint="40"/>
      </w:tcPr>
    </w:tblStylePr>
    <w:tblStylePr w:type="band1Horz">
      <w:rPr>
        <w:color w:val="9BC2E5" w:themeColor="accent5" w:themeTint="9A" w:themeShade="95"/>
        <w:sz w:val="22"/>
      </w:rPr>
      <w:tblPr/>
      <w:tcPr>
        <w:shd w:val="clear" w:color="D5E5F4" w:fill="D5E5F4" w:themeFill="accent5" w:themeFillTint="40"/>
      </w:tcPr>
    </w:tblStylePr>
    <w:tblStylePr w:type="band2Horz">
      <w:rPr>
        <w:color w:val="9BC2E5"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i/>
        <w:color w:val="A9D08E" w:themeColor="accent6" w:themeTint="98" w:themeShade="95"/>
        <w:sz w:val="22"/>
      </w:rPr>
      <w:tblPr/>
      <w:tcPr>
        <w:tcBorders>
          <w:top w:val="none" w:sz="4" w:space="0" w:color="000000"/>
          <w:left w:val="none" w:sz="4" w:space="0" w:color="000000"/>
          <w:bottom w:val="single" w:sz="4" w:space="0" w:color="70AD47" w:themeColor="accent6"/>
          <w:right w:val="none" w:sz="4" w:space="0" w:color="000000"/>
        </w:tcBorders>
        <w:shd w:val="clear" w:color="FFFFFF" w:fill="FFFFFF" w:themeFill="light1"/>
      </w:tcPr>
    </w:tblStylePr>
    <w:tblStylePr w:type="lastRow">
      <w:rPr>
        <w:i/>
        <w:color w:val="A9D08E" w:themeColor="accent6" w:themeTint="98" w:themeShade="95"/>
        <w:sz w:val="22"/>
      </w:rPr>
      <w:tblPr/>
      <w:tcPr>
        <w:tcBorders>
          <w:top w:val="single" w:sz="4" w:space="0" w:color="70AD47" w:themeColor="accent6"/>
          <w:left w:val="none" w:sz="4" w:space="0" w:color="000000"/>
          <w:bottom w:val="none" w:sz="4" w:space="0" w:color="000000"/>
          <w:right w:val="none" w:sz="4" w:space="0" w:color="000000"/>
        </w:tcBorders>
        <w:shd w:val="clear" w:color="FFFFFF" w:fill="FFFFFF" w:themeFill="light1"/>
      </w:tcPr>
    </w:tblStylePr>
    <w:tblStylePr w:type="firstCol">
      <w:pPr>
        <w:jc w:val="right"/>
      </w:pPr>
      <w:rPr>
        <w:i/>
        <w:color w:val="A9D08E" w:themeColor="accent6" w:themeTint="98" w:themeShade="95"/>
        <w:sz w:val="22"/>
      </w:rPr>
      <w:tblPr/>
      <w:tcPr>
        <w:tcBorders>
          <w:top w:val="none" w:sz="4" w:space="0" w:color="000000"/>
          <w:left w:val="none" w:sz="4" w:space="0" w:color="000000"/>
          <w:bottom w:val="none" w:sz="4" w:space="0" w:color="000000"/>
          <w:right w:val="single" w:sz="4" w:space="0" w:color="70AD47" w:themeColor="accent6"/>
        </w:tcBorders>
        <w:shd w:val="clear" w:color="FFFFFF" w:fill="auto"/>
      </w:tcPr>
    </w:tblStylePr>
    <w:tblStylePr w:type="lastCol">
      <w:rPr>
        <w:i/>
        <w:color w:val="A9D08E" w:themeColor="accent6" w:themeTint="98" w:themeShade="95"/>
        <w:sz w:val="22"/>
      </w:rPr>
      <w:tblPr/>
      <w:tcPr>
        <w:tcBorders>
          <w:top w:val="none" w:sz="4" w:space="0" w:color="000000"/>
          <w:left w:val="single" w:sz="4" w:space="0" w:color="70AD47" w:themeColor="accent6"/>
          <w:bottom w:val="none" w:sz="4" w:space="0" w:color="000000"/>
          <w:right w:val="none" w:sz="4" w:space="0" w:color="000000"/>
        </w:tcBorders>
        <w:shd w:val="clear" w:color="FFFFFF" w:fill="auto"/>
      </w:tcPr>
    </w:tblStylePr>
    <w:tblStylePr w:type="band1Vert">
      <w:tblPr/>
      <w:tcPr>
        <w:shd w:val="clear" w:color="DAEBCF" w:fill="DAEBCF" w:themeFill="accent6" w:themeFillTint="40"/>
      </w:tcPr>
    </w:tblStylePr>
    <w:tblStylePr w:type="band1Horz">
      <w:rPr>
        <w:color w:val="A9D08E" w:themeColor="accent6" w:themeTint="98" w:themeShade="95"/>
        <w:sz w:val="22"/>
      </w:rPr>
      <w:tblPr/>
      <w:tcPr>
        <w:shd w:val="clear" w:color="DAEBCF" w:fill="DAEBCF" w:themeFill="accent6" w:themeFillTint="40"/>
      </w:tcPr>
    </w:tblStylePr>
    <w:tblStylePr w:type="band2Horz">
      <w:rPr>
        <w:color w:val="A9D08E" w:themeColor="accent6" w:themeTint="98" w:themeShade="95"/>
        <w:sz w:val="22"/>
      </w:rPr>
    </w:tblStylePr>
  </w:style>
  <w:style w:type="table" w:customStyle="1" w:styleId="Lined-Accent">
    <w:name w:val="Lined - Accent"/>
    <w:basedOn w:val="a1"/>
    <w:uiPriority w:val="99"/>
    <w:rPr>
      <w:sz w:val="20"/>
      <w:szCs w:val="20"/>
      <w:lang w:eastAsia="uk-UA"/>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Lined-Accent1">
    <w:name w:val="Lined - Accent 1"/>
    <w:basedOn w:val="a1"/>
    <w:uiPriority w:val="99"/>
    <w:rPr>
      <w:sz w:val="20"/>
      <w:szCs w:val="20"/>
      <w:lang w:eastAsia="uk-UA"/>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sz w:val="20"/>
      <w:szCs w:val="20"/>
      <w:lang w:eastAsia="uk-UA"/>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sz w:val="20"/>
      <w:szCs w:val="20"/>
      <w:lang w:eastAsia="uk-UA"/>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sz w:val="20"/>
      <w:szCs w:val="20"/>
      <w:lang w:eastAsia="uk-UA"/>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sz w:val="20"/>
      <w:szCs w:val="20"/>
      <w:lang w:eastAsia="uk-UA"/>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sz w:val="20"/>
      <w:szCs w:val="20"/>
      <w:lang w:eastAsia="uk-UA"/>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sz w:val="20"/>
      <w:szCs w:val="20"/>
      <w:lang w:eastAsia="uk-UA"/>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StylePr>
    <w:tblStylePr w:type="band2Vert">
      <w:rPr>
        <w:sz w:val="22"/>
      </w:rPr>
      <w:tblPr/>
      <w:tcPr>
        <w:shd w:val="clear" w:color="F2F2F2" w:fill="F2F2F2" w:themeFill="text1" w:themeFillTint="0D"/>
      </w:tcPr>
    </w:tblStylePr>
    <w:tblStylePr w:type="band1Horz">
      <w:rPr>
        <w:sz w:val="22"/>
      </w:rPr>
    </w:tblStylePr>
    <w:tblStylePr w:type="band2Horz">
      <w:rPr>
        <w:sz w:val="22"/>
      </w:rPr>
      <w:tblPr/>
      <w:tcPr>
        <w:shd w:val="clear" w:color="F2F2F2" w:fill="F2F2F2" w:themeFill="text1" w:themeFillTint="0D"/>
      </w:tcPr>
    </w:tblStylePr>
  </w:style>
  <w:style w:type="table" w:customStyle="1" w:styleId="BorderedLined-Accent1">
    <w:name w:val="Bordered &amp; Lined - Accent 1"/>
    <w:basedOn w:val="a1"/>
    <w:uiPriority w:val="99"/>
    <w:rPr>
      <w:sz w:val="20"/>
      <w:szCs w:val="20"/>
      <w:lang w:eastAsia="uk-UA"/>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StylePr>
    <w:tblStylePr w:type="band2Vert">
      <w:rPr>
        <w:sz w:val="22"/>
      </w:rPr>
      <w:tblPr/>
      <w:tcPr>
        <w:shd w:val="clear" w:color="C4D2EC" w:fill="C4D2EC" w:themeFill="accent1" w:themeFillTint="50"/>
      </w:tcPr>
    </w:tblStylePr>
    <w:tblStylePr w:type="band1Horz">
      <w:rPr>
        <w:sz w:val="22"/>
      </w:r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sz w:val="20"/>
      <w:szCs w:val="20"/>
      <w:lang w:eastAsia="uk-U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insideH w:val="single" w:sz="4" w:space="0" w:color="ED7D31" w:themeColor="accent2"/>
        <w:insideV w:val="single" w:sz="4" w:space="0" w:color="ED7D31" w:themeColor="accent2"/>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StylePr>
    <w:tblStylePr w:type="band2Vert">
      <w:rPr>
        <w:sz w:val="22"/>
      </w:rPr>
      <w:tblPr/>
      <w:tcPr>
        <w:shd w:val="clear" w:color="FBE5D6" w:fill="FBE5D6" w:themeFill="accent2" w:themeFillTint="32"/>
      </w:tcPr>
    </w:tblStylePr>
    <w:tblStylePr w:type="band1Horz">
      <w:rPr>
        <w:sz w:val="22"/>
      </w:r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sz w:val="20"/>
      <w:szCs w:val="20"/>
      <w:lang w:eastAsia="uk-UA"/>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insideH w:val="single" w:sz="4" w:space="0" w:color="A5A5A5" w:themeColor="accent3"/>
        <w:insideV w:val="single" w:sz="4" w:space="0" w:color="A5A5A5" w:themeColor="accent3"/>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StylePr>
    <w:tblStylePr w:type="band2Vert">
      <w:rPr>
        <w:sz w:val="22"/>
      </w:rPr>
      <w:tblPr/>
      <w:tcPr>
        <w:shd w:val="clear" w:color="ECECEC" w:fill="ECECEC" w:themeFill="accent3" w:themeFillTint="34"/>
      </w:tcPr>
    </w:tblStylePr>
    <w:tblStylePr w:type="band1Horz">
      <w:rPr>
        <w:sz w:val="22"/>
      </w:r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sz w:val="20"/>
      <w:szCs w:val="20"/>
      <w:lang w:eastAsia="uk-UA"/>
    </w:r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insideH w:val="single" w:sz="4" w:space="0" w:color="FFC000" w:themeColor="accent4"/>
        <w:insideV w:val="single" w:sz="4" w:space="0" w:color="FFC000" w:themeColor="accent4"/>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StylePr>
    <w:tblStylePr w:type="band2Vert">
      <w:rPr>
        <w:sz w:val="22"/>
      </w:rPr>
      <w:tblPr/>
      <w:tcPr>
        <w:shd w:val="clear" w:color="FFF2CB" w:fill="FFF2CB" w:themeFill="accent4" w:themeFillTint="34"/>
      </w:tcPr>
    </w:tblStylePr>
    <w:tblStylePr w:type="band1Horz">
      <w:rPr>
        <w:sz w:val="22"/>
      </w:r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sz w:val="20"/>
      <w:szCs w:val="20"/>
      <w:lang w:eastAsia="uk-UA"/>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StylePr>
    <w:tblStylePr w:type="band2Vert">
      <w:rPr>
        <w:sz w:val="22"/>
      </w:rPr>
      <w:tblPr/>
      <w:tcPr>
        <w:shd w:val="clear" w:color="DDEAF6" w:fill="DDEAF6" w:themeFill="accent5" w:themeFillTint="34"/>
      </w:tcPr>
    </w:tblStylePr>
    <w:tblStylePr w:type="band1Horz">
      <w:rPr>
        <w:sz w:val="22"/>
      </w:r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sz w:val="20"/>
      <w:szCs w:val="20"/>
      <w:lang w:eastAsia="uk-U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StylePr>
    <w:tblStylePr w:type="band2Vert">
      <w:rPr>
        <w:sz w:val="22"/>
      </w:rPr>
      <w:tblPr/>
      <w:tcPr>
        <w:shd w:val="clear" w:color="E1EFD8" w:fill="E1EFD8" w:themeFill="accent6" w:themeFillTint="34"/>
      </w:tcPr>
    </w:tblStylePr>
    <w:tblStylePr w:type="band1Horz">
      <w:rPr>
        <w:sz w:val="22"/>
      </w:r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sz w:val="22"/>
      </w:rPr>
      <w:tblPr/>
      <w:tcPr>
        <w:tcBorders>
          <w:bottom w:val="single" w:sz="12" w:space="0" w:color="000000" w:themeColor="text1"/>
        </w:tcBorders>
      </w:tcPr>
    </w:tblStylePr>
    <w:tblStylePr w:type="lastRow">
      <w:rPr>
        <w:sz w:val="22"/>
      </w:rPr>
      <w:tblPr/>
      <w:tcPr>
        <w:tcBorders>
          <w:top w:val="single" w:sz="12" w:space="0" w:color="000000" w:themeColor="text1"/>
        </w:tcBorders>
      </w:tcPr>
    </w:tblStylePr>
    <w:tblStylePr w:type="firstCol">
      <w:rPr>
        <w:sz w:val="22"/>
      </w:rPr>
    </w:tblStylePr>
    <w:tblStylePr w:type="lastCol">
      <w:rPr>
        <w:sz w:val="22"/>
      </w:rPr>
      <w:tblPr/>
      <w:tcPr>
        <w:tcBorders>
          <w:left w:val="single" w:sz="12" w:space="0" w:color="000000" w:themeColor="text1"/>
        </w:tcBorders>
      </w:tcPr>
    </w:tblStylePr>
    <w:tblStylePr w:type="band1Horz">
      <w:rPr>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tcPr>
    </w:tblStylePr>
  </w:style>
  <w:style w:type="table" w:customStyle="1" w:styleId="Bordered-Accent1">
    <w:name w:val="Bordered - Accent 1"/>
    <w:basedOn w:val="a1"/>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sz w:val="22"/>
      </w:rPr>
      <w:tblPr/>
      <w:tcPr>
        <w:tcBorders>
          <w:bottom w:val="single" w:sz="12" w:space="0" w:color="4472C4" w:themeColor="accent1"/>
        </w:tcBorders>
      </w:tcPr>
    </w:tblStylePr>
    <w:tblStylePr w:type="lastRow">
      <w:rPr>
        <w:sz w:val="22"/>
      </w:rPr>
      <w:tblPr/>
      <w:tcPr>
        <w:tcBorders>
          <w:top w:val="single" w:sz="12" w:space="0" w:color="4472C4" w:themeColor="accent1"/>
        </w:tcBorders>
      </w:tcPr>
    </w:tblStylePr>
    <w:tblStylePr w:type="firstCol">
      <w:rPr>
        <w:sz w:val="22"/>
      </w:rPr>
    </w:tblStylePr>
    <w:tblStylePr w:type="lastCol">
      <w:rPr>
        <w:sz w:val="22"/>
      </w:rPr>
      <w:tblPr/>
      <w:tcPr>
        <w:tcBorders>
          <w:left w:val="single" w:sz="12" w:space="0" w:color="4472C4" w:themeColor="accent1"/>
        </w:tcBorders>
      </w:tcPr>
    </w:tblStylePr>
    <w:tblStylePr w:type="band1Horz">
      <w:rPr>
        <w:sz w:val="22"/>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sz w:val="22"/>
      </w:rPr>
      <w:tblPr/>
      <w:tcPr>
        <w:tcBorders>
          <w:bottom w:val="single" w:sz="12" w:space="0" w:color="ED7D31" w:themeColor="accent2"/>
        </w:tcBorders>
      </w:tcPr>
    </w:tblStylePr>
    <w:tblStylePr w:type="lastRow">
      <w:rPr>
        <w:sz w:val="22"/>
      </w:rPr>
      <w:tblPr/>
      <w:tcPr>
        <w:tcBorders>
          <w:top w:val="single" w:sz="12" w:space="0" w:color="ED7D31" w:themeColor="accent2"/>
        </w:tcBorders>
      </w:tcPr>
    </w:tblStylePr>
    <w:tblStylePr w:type="firstCol">
      <w:rPr>
        <w:sz w:val="22"/>
      </w:rPr>
    </w:tblStylePr>
    <w:tblStylePr w:type="lastCol">
      <w:rPr>
        <w:sz w:val="22"/>
      </w:rPr>
      <w:tblPr/>
      <w:tcPr>
        <w:tcBorders>
          <w:left w:val="single" w:sz="12" w:space="0" w:color="ED7D31" w:themeColor="accent2"/>
        </w:tcBorders>
      </w:tcPr>
    </w:tblStylePr>
    <w:tblStylePr w:type="band1Horz">
      <w:rPr>
        <w:sz w:val="22"/>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sz w:val="22"/>
      </w:rPr>
      <w:tblPr/>
      <w:tcPr>
        <w:tcBorders>
          <w:bottom w:val="single" w:sz="12" w:space="0" w:color="A5A5A5" w:themeColor="accent3"/>
        </w:tcBorders>
      </w:tcPr>
    </w:tblStylePr>
    <w:tblStylePr w:type="lastRow">
      <w:rPr>
        <w:sz w:val="22"/>
      </w:rPr>
      <w:tblPr/>
      <w:tcPr>
        <w:tcBorders>
          <w:top w:val="single" w:sz="12" w:space="0" w:color="A5A5A5" w:themeColor="accent3"/>
        </w:tcBorders>
      </w:tcPr>
    </w:tblStylePr>
    <w:tblStylePr w:type="firstCol">
      <w:rPr>
        <w:sz w:val="22"/>
      </w:rPr>
    </w:tblStylePr>
    <w:tblStylePr w:type="lastCol">
      <w:rPr>
        <w:sz w:val="22"/>
      </w:rPr>
      <w:tblPr/>
      <w:tcPr>
        <w:tcBorders>
          <w:left w:val="single" w:sz="12" w:space="0" w:color="A5A5A5" w:themeColor="accent3"/>
        </w:tcBorders>
      </w:tcPr>
    </w:tblStylePr>
    <w:tblStylePr w:type="band1Horz">
      <w:rPr>
        <w:sz w:val="22"/>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sz w:val="22"/>
      </w:rPr>
      <w:tblPr/>
      <w:tcPr>
        <w:tcBorders>
          <w:bottom w:val="single" w:sz="12" w:space="0" w:color="FFC000" w:themeColor="accent4"/>
        </w:tcBorders>
      </w:tcPr>
    </w:tblStylePr>
    <w:tblStylePr w:type="lastRow">
      <w:rPr>
        <w:sz w:val="22"/>
      </w:rPr>
      <w:tblPr/>
      <w:tcPr>
        <w:tcBorders>
          <w:top w:val="single" w:sz="12" w:space="0" w:color="FFC000" w:themeColor="accent4"/>
        </w:tcBorders>
      </w:tcPr>
    </w:tblStylePr>
    <w:tblStylePr w:type="firstCol">
      <w:rPr>
        <w:sz w:val="22"/>
      </w:rPr>
    </w:tblStylePr>
    <w:tblStylePr w:type="lastCol">
      <w:rPr>
        <w:sz w:val="22"/>
      </w:rPr>
      <w:tblPr/>
      <w:tcPr>
        <w:tcBorders>
          <w:left w:val="single" w:sz="12" w:space="0" w:color="FFC000" w:themeColor="accent4"/>
        </w:tcBorders>
      </w:tcPr>
    </w:tblStylePr>
    <w:tblStylePr w:type="band1Horz">
      <w:rPr>
        <w:sz w:val="22"/>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tcBorders>
      </w:tcPr>
    </w:tblStylePr>
  </w:style>
  <w:style w:type="table" w:customStyle="1" w:styleId="Bordered-Accent5">
    <w:name w:val="Bordered - Accent 5"/>
    <w:basedOn w:val="a1"/>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sz w:val="22"/>
      </w:rPr>
      <w:tblPr/>
      <w:tcPr>
        <w:tcBorders>
          <w:bottom w:val="single" w:sz="12" w:space="0" w:color="5B9BD5" w:themeColor="accent5"/>
        </w:tcBorders>
      </w:tcPr>
    </w:tblStylePr>
    <w:tblStylePr w:type="lastRow">
      <w:rPr>
        <w:sz w:val="22"/>
      </w:rPr>
      <w:tblPr/>
      <w:tcPr>
        <w:tcBorders>
          <w:top w:val="single" w:sz="12" w:space="0" w:color="5B9BD5" w:themeColor="accent5"/>
        </w:tcBorders>
      </w:tcPr>
    </w:tblStylePr>
    <w:tblStylePr w:type="firstCol">
      <w:rPr>
        <w:sz w:val="22"/>
      </w:rPr>
    </w:tblStylePr>
    <w:tblStylePr w:type="lastCol">
      <w:rPr>
        <w:sz w:val="22"/>
      </w:rPr>
      <w:tblPr/>
      <w:tcPr>
        <w:tcBorders>
          <w:left w:val="single" w:sz="12" w:space="0" w:color="5B9BD5" w:themeColor="accent5"/>
        </w:tcBorders>
      </w:tcPr>
    </w:tblStylePr>
    <w:tblStylePr w:type="band1Horz">
      <w:rPr>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sz w:val="22"/>
      </w:rPr>
      <w:tblPr/>
      <w:tcPr>
        <w:tcBorders>
          <w:bottom w:val="single" w:sz="12" w:space="0" w:color="70AD47" w:themeColor="accent6"/>
        </w:tcBorders>
      </w:tcPr>
    </w:tblStylePr>
    <w:tblStylePr w:type="lastRow">
      <w:rPr>
        <w:sz w:val="22"/>
      </w:rPr>
      <w:tblPr/>
      <w:tcPr>
        <w:tcBorders>
          <w:top w:val="single" w:sz="12" w:space="0" w:color="70AD47" w:themeColor="accent6"/>
        </w:tcBorders>
      </w:tcPr>
    </w:tblStylePr>
    <w:tblStylePr w:type="firstCol">
      <w:rPr>
        <w:sz w:val="22"/>
      </w:rPr>
    </w:tblStylePr>
    <w:tblStylePr w:type="lastCol">
      <w:rPr>
        <w:sz w:val="22"/>
      </w:rPr>
      <w:tblPr/>
      <w:tcPr>
        <w:tcBorders>
          <w:left w:val="single" w:sz="12" w:space="0" w:color="70AD47" w:themeColor="accent6"/>
        </w:tcBorders>
      </w:tcPr>
    </w:tblStylePr>
    <w:tblStylePr w:type="band1Horz">
      <w:rPr>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tblStylePr>
  </w:style>
  <w:style w:type="table" w:styleId="aff5">
    <w:name w:val="Table Grid"/>
    <w:basedOn w:val="a1"/>
    <w:uiPriority w:val="59"/>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7687</Words>
  <Characters>4382</Characters>
  <Application>Microsoft Office Word</Application>
  <DocSecurity>0</DocSecurity>
  <Lines>36</Lines>
  <Paragraphs>24</Paragraphs>
  <ScaleCrop>false</ScaleCrop>
  <Company/>
  <LinksUpToDate>false</LinksUpToDate>
  <CharactersWithSpaces>12045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Поліна Бєлінська</dc:creator>
  <dc:description/>
  <cp:lastModifiedBy>Поліна Бєлінська</cp:lastModifiedBy>
  <cp:revision>7</cp:revision>
  <dcterms:created xsi:type="dcterms:W3CDTF">2024-02-26T08:16:00Z</dcterms:created>
  <dcterms:modified xsi:type="dcterms:W3CDTF">2024-03-14T12:09:00Z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cdb7d996-8680-466c-be39-c12e13df1aa2</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2023-09-25T10:50:36Z</vt:lpwstr>
  </property>
  <property fmtid="{D5CDD505-2E9C-101B-9397-08002B2CF9AE}" pid="8" name="MSIP_Label_defa4170-0d19-0005-0004-bc88714345d2_SiteId">
    <vt:lpwstr>269ae716-e3ac-43c3-afed-32aac9da268f</vt:lpwstr>
  </property>
</Properties>
</file>