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ІНФОРМАЦІЯ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про комп’ютерну техніку, її комплектуючи та оргтехніку, які пропонуються до передачі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ff6"/>
        <w:tblW w:w="1634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851"/>
        <w:gridCol w:w="4154"/>
        <w:gridCol w:w="1842"/>
        <w:gridCol w:w="1375"/>
        <w:gridCol w:w="5955"/>
        <w:gridCol w:w="2169"/>
      </w:tblGrid>
      <w:tr>
        <w:trPr>
          <w:trHeight w:val="1290" w:hRule="atLeast"/>
        </w:trPr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uk-UA" w:bidi="ar-SA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uk-UA" w:bidi="ar-SA"/>
              </w:rPr>
              <w:t>з/п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uk-UA" w:bidi="ar-SA"/>
              </w:rPr>
              <w:t xml:space="preserve">Найменування майна </w:t>
              <w:br/>
              <w:t>(марка, модель та ін.)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uk-UA" w:bidi="ar-SA"/>
              </w:rPr>
              <w:t>Інвентарний номер</w:t>
            </w:r>
          </w:p>
        </w:tc>
        <w:tc>
          <w:tcPr>
            <w:tcW w:w="13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uk-UA" w:bidi="ar-SA"/>
              </w:rPr>
              <w:t>Рік випуску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uk-UA" w:bidi="ar-SA"/>
              </w:rPr>
              <w:t xml:space="preserve">Опис технічного (експлуатаційного) стану майна </w:t>
              <w:br/>
              <w:t>за інформацією балансоутримувача</w:t>
            </w:r>
          </w:p>
        </w:tc>
        <w:tc>
          <w:tcPr>
            <w:tcW w:w="21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uk-UA" w:bidi="ar-SA"/>
              </w:rPr>
              <w:t>Дата оприлюднення</w:t>
            </w:r>
          </w:p>
        </w:tc>
      </w:tr>
      <w:tr>
        <w:trPr>
          <w:trHeight w:val="472" w:hRule="atLeast"/>
        </w:trPr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uk-UA" w:bidi="ar-SA"/>
              </w:rPr>
              <w:t>1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uk-UA" w:bidi="ar-SA"/>
              </w:rPr>
              <w:t>2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uk-UA" w:bidi="ar-SA"/>
              </w:rPr>
              <w:t>3</w:t>
            </w:r>
          </w:p>
        </w:tc>
        <w:tc>
          <w:tcPr>
            <w:tcW w:w="13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uk-UA" w:bidi="ar-SA"/>
              </w:rPr>
              <w:t>4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uk-UA" w:bidi="ar-SA"/>
              </w:rPr>
              <w:t>5</w:t>
            </w:r>
          </w:p>
        </w:tc>
        <w:tc>
          <w:tcPr>
            <w:tcW w:w="21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uk-UA" w:bidi="ar-SA"/>
              </w:rPr>
              <w:t>6</w:t>
            </w:r>
          </w:p>
        </w:tc>
      </w:tr>
      <w:tr>
        <w:trPr>
          <w:trHeight w:val="777" w:hRule="atLeast"/>
        </w:trPr>
        <w:tc>
          <w:tcPr>
            <w:tcW w:w="851" w:type="dxa"/>
            <w:tcBorders/>
            <w:vAlign w:val="center"/>
          </w:tcPr>
          <w:p>
            <w:pPr>
              <w:pStyle w:val="Caption111"/>
              <w:widowControl w:val="false"/>
              <w:suppressAutoHyphens w:val="true"/>
              <w:spacing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Caption111"/>
              <w:widowControl w:val="false"/>
              <w:suppressAutoHyphens w:val="true"/>
              <w:spacing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uk-UA" w:bidi="ar-SA"/>
              </w:rPr>
              <w:t>Балансоутримувач</w:t>
            </w:r>
          </w:p>
        </w:tc>
        <w:tc>
          <w:tcPr>
            <w:tcW w:w="11341" w:type="dxa"/>
            <w:gridSpan w:val="4"/>
            <w:tcBorders/>
            <w:vAlign w:val="center"/>
          </w:tcPr>
          <w:p>
            <w:pPr>
              <w:pStyle w:val="Caption111"/>
              <w:widowControl w:val="false"/>
              <w:suppressAutoHyphens w:val="true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uk-UA" w:bidi="ar-SA"/>
              </w:rPr>
              <w:t>Київський науково-дослідний експертно-</w:t>
              <w:br/>
              <w:t>криміналістичний центр МВС України</w:t>
            </w:r>
          </w:p>
        </w:tc>
      </w:tr>
      <w:tr>
        <w:trPr>
          <w:trHeight w:val="3682" w:hRule="atLeast"/>
        </w:trPr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1.1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 xml:space="preserve">Автоматизована балістична ідентифікаційна система </w:t>
              <w:br/>
              <w:t>«ТАІС-040М»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101480219</w:t>
            </w:r>
          </w:p>
        </w:tc>
        <w:tc>
          <w:tcPr>
            <w:tcW w:w="13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2011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Ідентифікаційна система технічно несправна. Несправність серверу, цифрових макро-камер, сканерів, процесора. Має чисельні програмно-апаратні помилки. У зв’язку з тим що фірмою розробником даної системи є ЗАТ «ЕЛДИ-Русприбор» м. Санкт-Петербург, Російська Федерація, відсутня можливість офіційної закупівлі запасних частин та програмного обслуговування, що в свою чергу не дають можливості приведення даного комплексу до вимог чинного законодавства.</w:t>
            </w:r>
          </w:p>
        </w:tc>
        <w:tc>
          <w:tcPr>
            <w:tcW w:w="21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30.12.2020</w:t>
            </w:r>
          </w:p>
        </w:tc>
      </w:tr>
      <w:tr>
        <w:trPr>
          <w:trHeight w:val="70" w:hRule="atLeast"/>
        </w:trPr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1.2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Програмний комплекс «Автоматизоване робоче місце Регула 4305»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101460220</w:t>
            </w:r>
          </w:p>
        </w:tc>
        <w:tc>
          <w:tcPr>
            <w:tcW w:w="13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2004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На сьогоднішній день апарат не виконує сучасні технічні вимоги при проведенні технічних досліджень документів.</w:t>
            </w:r>
          </w:p>
        </w:tc>
        <w:tc>
          <w:tcPr>
            <w:tcW w:w="21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29.01.2021</w:t>
            </w:r>
          </w:p>
        </w:tc>
      </w:tr>
      <w:tr>
        <w:trPr>
          <w:trHeight w:val="767" w:hRule="atLeast"/>
        </w:trPr>
        <w:tc>
          <w:tcPr>
            <w:tcW w:w="851" w:type="dxa"/>
            <w:tcBorders/>
            <w:vAlign w:val="center"/>
          </w:tcPr>
          <w:p>
            <w:pPr>
              <w:pStyle w:val="Caption111"/>
              <w:widowControl w:val="false"/>
              <w:suppressAutoHyphens w:val="true"/>
              <w:spacing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Caption111"/>
              <w:widowControl w:val="false"/>
              <w:suppressAutoHyphens w:val="true"/>
              <w:spacing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uk-UA" w:bidi="ar-SA"/>
              </w:rPr>
              <w:t>Балансоутримувач</w:t>
            </w:r>
          </w:p>
        </w:tc>
        <w:tc>
          <w:tcPr>
            <w:tcW w:w="11341" w:type="dxa"/>
            <w:gridSpan w:val="4"/>
            <w:tcBorders/>
            <w:vAlign w:val="center"/>
          </w:tcPr>
          <w:p>
            <w:pPr>
              <w:pStyle w:val="Caption111"/>
              <w:widowControl w:val="false"/>
              <w:suppressAutoHyphens w:val="true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uk-UA" w:bidi="ar-SA"/>
              </w:rPr>
              <w:t>Дніпропетровській науково-дослідний експертно-</w:t>
              <w:br/>
              <w:t>криміналістичний центр МВС України</w:t>
            </w:r>
          </w:p>
        </w:tc>
      </w:tr>
      <w:tr>
        <w:trPr>
          <w:trHeight w:val="1092" w:hRule="atLeast"/>
        </w:trPr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2.1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Сервер для автоматичного робочого місця експерта тип 1НР DL 180 004 WF_ dn 1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101480652</w:t>
            </w:r>
          </w:p>
        </w:tc>
        <w:tc>
          <w:tcPr>
            <w:tcW w:w="13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2012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Вийшли з ладу жорсткі диски та контролери для зчитування інформації.</w:t>
            </w:r>
          </w:p>
        </w:tc>
        <w:tc>
          <w:tcPr>
            <w:tcW w:w="21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29.01.2021</w:t>
            </w:r>
          </w:p>
        </w:tc>
      </w:tr>
      <w:tr>
        <w:trPr>
          <w:trHeight w:val="1011" w:hRule="atLeast"/>
        </w:trPr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2.2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Сервер (ДАКТА)</w:t>
              <w:br/>
              <w:t xml:space="preserve"> 001V1_dn 1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101480026</w:t>
            </w:r>
          </w:p>
        </w:tc>
        <w:tc>
          <w:tcPr>
            <w:tcW w:w="13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1999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Вийшли з ладу жорсткі диски та контролери для зчитування інформації.</w:t>
            </w:r>
          </w:p>
        </w:tc>
        <w:tc>
          <w:tcPr>
            <w:tcW w:w="21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29.01.2021</w:t>
            </w:r>
          </w:p>
        </w:tc>
      </w:tr>
      <w:tr>
        <w:trPr>
          <w:trHeight w:val="947" w:hRule="atLeast"/>
        </w:trPr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2.3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Сервер IMPAKT 400 з комп’ютером 486 КХ 001UO_dn1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101450092</w:t>
            </w:r>
          </w:p>
        </w:tc>
        <w:tc>
          <w:tcPr>
            <w:tcW w:w="13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1996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Вийшли з ладу жорсткі диски та контролери для зчитування інформації.</w:t>
            </w:r>
          </w:p>
        </w:tc>
        <w:tc>
          <w:tcPr>
            <w:tcW w:w="21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29.01.2021</w:t>
            </w:r>
          </w:p>
        </w:tc>
      </w:tr>
      <w:tr>
        <w:trPr>
          <w:trHeight w:val="909" w:hRule="atLeast"/>
        </w:trPr>
        <w:tc>
          <w:tcPr>
            <w:tcW w:w="851" w:type="dxa"/>
            <w:tcBorders/>
            <w:vAlign w:val="center"/>
          </w:tcPr>
          <w:p>
            <w:pPr>
              <w:pStyle w:val="Caption111"/>
              <w:widowControl w:val="false"/>
              <w:suppressAutoHyphens w:val="true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en-US" w:bidi="ar-SA"/>
              </w:rPr>
              <w:t>3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Caption111"/>
              <w:widowControl w:val="false"/>
              <w:suppressAutoHyphens w:val="true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uk-UA" w:bidi="ar-SA"/>
              </w:rPr>
              <w:t>Балансоутримувач</w:t>
            </w:r>
          </w:p>
        </w:tc>
        <w:tc>
          <w:tcPr>
            <w:tcW w:w="11341" w:type="dxa"/>
            <w:gridSpan w:val="4"/>
            <w:tcBorders/>
            <w:vAlign w:val="center"/>
          </w:tcPr>
          <w:p>
            <w:pPr>
              <w:pStyle w:val="Caption111"/>
              <w:widowControl w:val="false"/>
              <w:suppressAutoHyphens w:val="true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uk-UA" w:bidi="ar-SA"/>
              </w:rPr>
              <w:t>Головний сервісний центр МВС</w:t>
              <w:br/>
              <w:t>Регіональний сервісний центр ГСЦ МВС в Чернівецькій області (філія ГСЦ МВС)</w:t>
            </w:r>
          </w:p>
        </w:tc>
      </w:tr>
      <w:tr>
        <w:trPr>
          <w:trHeight w:val="2778" w:hRule="atLeast"/>
        </w:trPr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en-US" w:bidi="ar-SA"/>
              </w:rPr>
              <w:t>3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.1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Комплект програмно-апаратний комплекс (принтер IDI-CARD PRO-L; фотокамера KODAK)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101460218</w:t>
            </w:r>
          </w:p>
        </w:tc>
        <w:tc>
          <w:tcPr>
            <w:tcW w:w="13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2001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Технічно несправний. Перебував в експлуатації 5 років. Не експлуатується у зв’язку з вимогами сучасного програмного забезпечення, яке не дозволяє використовувати даний тип обладнання в реєстраційно-екзаменаційній діяльності територіальних сервісних центрів. Капітальний ремонт не проводився.</w:t>
            </w:r>
          </w:p>
        </w:tc>
        <w:tc>
          <w:tcPr>
            <w:tcW w:w="21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30.12.2020</w:t>
            </w:r>
          </w:p>
        </w:tc>
      </w:tr>
      <w:tr>
        <w:trPr>
          <w:trHeight w:val="2772" w:hRule="atLeast"/>
        </w:trPr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en-US" w:bidi="ar-SA"/>
              </w:rPr>
              <w:t>3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.2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Програмно-апаратний комплекс (цифровий принтер CP500 Тoppan; цифрова дзеркальна фотокамера Canon EOS 1100D з об’єктивом; пристрій для зчитування підпису Wacom STU-300)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101460159</w:t>
            </w:r>
          </w:p>
        </w:tc>
        <w:tc>
          <w:tcPr>
            <w:tcW w:w="13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2014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Технічно несправний. Перебував в експлуатації 6 років. Кількість роздрукованих бланків 63556 шт. Основні вузли та агрегати потребують дороговартісного відновлювального ремонту. Капітальний ремонт не проводився.</w:t>
            </w:r>
          </w:p>
        </w:tc>
        <w:tc>
          <w:tcPr>
            <w:tcW w:w="21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30.12.2020</w:t>
            </w:r>
          </w:p>
        </w:tc>
      </w:tr>
      <w:tr>
        <w:trPr>
          <w:trHeight w:val="833" w:hRule="atLeast"/>
        </w:trPr>
        <w:tc>
          <w:tcPr>
            <w:tcW w:w="851" w:type="dxa"/>
            <w:tcBorders/>
            <w:vAlign w:val="center"/>
          </w:tcPr>
          <w:p>
            <w:pPr>
              <w:pStyle w:val="Caption111"/>
              <w:widowControl w:val="false"/>
              <w:suppressAutoHyphens w:val="true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en-US" w:bidi="ar-SA"/>
              </w:rPr>
              <w:t>4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Caption111"/>
              <w:widowControl w:val="false"/>
              <w:suppressAutoHyphens w:val="true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uk-UA" w:bidi="ar-SA"/>
              </w:rPr>
              <w:t>Балансоутримувач</w:t>
            </w:r>
          </w:p>
        </w:tc>
        <w:tc>
          <w:tcPr>
            <w:tcW w:w="11341" w:type="dxa"/>
            <w:gridSpan w:val="4"/>
            <w:tcBorders/>
            <w:vAlign w:val="center"/>
          </w:tcPr>
          <w:p>
            <w:pPr>
              <w:pStyle w:val="Caption111"/>
              <w:widowControl w:val="false"/>
              <w:suppressAutoHyphens w:val="true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uk-UA" w:bidi="ar-SA"/>
              </w:rPr>
              <w:t>Головний сервісний центр МВС</w:t>
              <w:br/>
              <w:t>Регіональний сервісний центр ГСЦ МВС в Донецькій області (філія ГСЦ МВС)</w:t>
            </w:r>
          </w:p>
        </w:tc>
      </w:tr>
      <w:tr>
        <w:trPr>
          <w:trHeight w:val="1566" w:hRule="atLeast"/>
        </w:trPr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en-US" w:bidi="ar-SA"/>
              </w:rPr>
              <w:t>4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.1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 xml:space="preserve">ПАК (системний блок, </w:t>
              <w:br/>
              <w:t xml:space="preserve">монітор, планшет, </w:t>
              <w:br/>
              <w:t>цифрова камера)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101460157</w:t>
            </w:r>
          </w:p>
        </w:tc>
        <w:tc>
          <w:tcPr>
            <w:tcW w:w="13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2014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Виведена з ладу головна плата управління, знос нагрівального валу. Вартість ремонту та запчастин дорівнює вартості обладнання.</w:t>
            </w:r>
          </w:p>
        </w:tc>
        <w:tc>
          <w:tcPr>
            <w:tcW w:w="21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29.01.2021</w:t>
            </w:r>
          </w:p>
        </w:tc>
      </w:tr>
      <w:tr>
        <w:trPr>
          <w:trHeight w:val="744" w:hRule="atLeast"/>
        </w:trPr>
        <w:tc>
          <w:tcPr>
            <w:tcW w:w="851" w:type="dxa"/>
            <w:tcBorders/>
            <w:vAlign w:val="center"/>
          </w:tcPr>
          <w:p>
            <w:pPr>
              <w:pStyle w:val="Caption111"/>
              <w:widowControl w:val="false"/>
              <w:suppressAutoHyphens w:val="true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en-US" w:bidi="ar-SA"/>
              </w:rPr>
              <w:t>5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Caption111"/>
              <w:widowControl w:val="false"/>
              <w:suppressAutoHyphens w:val="true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uk-UA" w:bidi="ar-SA"/>
              </w:rPr>
              <w:t>Балансоутримувач</w:t>
            </w:r>
          </w:p>
        </w:tc>
        <w:tc>
          <w:tcPr>
            <w:tcW w:w="11341" w:type="dxa"/>
            <w:gridSpan w:val="4"/>
            <w:tcBorders/>
            <w:vAlign w:val="center"/>
          </w:tcPr>
          <w:p>
            <w:pPr>
              <w:pStyle w:val="Caption111"/>
              <w:widowControl w:val="false"/>
              <w:suppressAutoHyphens w:val="true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uk-UA" w:bidi="ar-SA"/>
              </w:rPr>
              <w:t>Головний сервісний центр МВС</w:t>
              <w:br/>
              <w:t>Регіональний сервісний центр ГСЦ МВС в м. Києві (філія ГСЦ МВС)</w:t>
            </w:r>
          </w:p>
        </w:tc>
      </w:tr>
      <w:tr>
        <w:trPr>
          <w:trHeight w:val="3977" w:hRule="atLeast"/>
        </w:trPr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en-US" w:bidi="ar-SA"/>
              </w:rPr>
              <w:t>5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.1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Цифровий принтер TOPPAN CP500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101480001</w:t>
            </w:r>
          </w:p>
        </w:tc>
        <w:tc>
          <w:tcPr>
            <w:tcW w:w="13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2014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Термін служби обладнання та вироблений ресурс на момент проведення діагностики перевищив очікуваний виробником термін (5 років та 100 000 зображень). Визначені під час діагностики вузли/деталі не можуть бути використані у подальшій експлуатації та потребують заміні. Зважаючи на термін використання/вироблений ресурс обладнання, подальша його експлуатація, після проведення ремонту, не виключатиме можливого виходу з ладу (поломок) інших вузлів/деталей.</w:t>
            </w:r>
          </w:p>
        </w:tc>
        <w:tc>
          <w:tcPr>
            <w:tcW w:w="21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29.01.2021</w:t>
            </w:r>
          </w:p>
        </w:tc>
      </w:tr>
      <w:tr>
        <w:trPr>
          <w:trHeight w:val="4101" w:hRule="atLeast"/>
        </w:trPr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en-US" w:bidi="ar-SA"/>
              </w:rPr>
              <w:t>5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.2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Цифровий принтер TOPPAN CP500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101480026</w:t>
            </w:r>
          </w:p>
        </w:tc>
        <w:tc>
          <w:tcPr>
            <w:tcW w:w="13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2014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Термін служби обладнання та вироблений ресурс на момент проведення діагностики перевищив очікуваний виробником термін (5 років та 100 000 зображень). Визначені під час діагностики вузли/деталі не можуть бути використані у подальшій експлуатації та потребують заміні. Зважаючи на термін використання/вироблений ресурс обладнання, подальша його експлуатація, після проведення ремонту, не виключатиме можливого виходу з ладу (поломок) інших вузлів/деталей.</w:t>
            </w:r>
          </w:p>
        </w:tc>
        <w:tc>
          <w:tcPr>
            <w:tcW w:w="21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29.01.2021</w:t>
            </w:r>
          </w:p>
        </w:tc>
      </w:tr>
      <w:tr>
        <w:trPr>
          <w:trHeight w:val="2169" w:hRule="atLeast"/>
        </w:trPr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en-US" w:bidi="ar-SA"/>
              </w:rPr>
              <w:t>5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.3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Цифровий принтер TOPPAN CP500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101480062</w:t>
            </w:r>
          </w:p>
        </w:tc>
        <w:tc>
          <w:tcPr>
            <w:tcW w:w="13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2014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Термін служби обладнання та вироблений ресурс на момент проведення діагностики перевищив очікуваний виробником термін (5 років та 100 000 зображень). Визначені під час діагностики вузли/деталі не можуть бути використані у подальшій експлуатації та потребують заміні. Зважаючи на термін використання/вироблений ресурс обладнання, подальша його експлуатація, після проведення ремонту, не виключатиме можливого виходу з ладу (поломок) інших вузлів/деталей.</w:t>
            </w:r>
          </w:p>
        </w:tc>
        <w:tc>
          <w:tcPr>
            <w:tcW w:w="21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29.01.2021</w:t>
            </w:r>
          </w:p>
        </w:tc>
      </w:tr>
      <w:tr>
        <w:trPr>
          <w:trHeight w:val="3743" w:hRule="atLeast"/>
        </w:trPr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en-US" w:bidi="ar-SA"/>
              </w:rPr>
              <w:t>5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.4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Цифровий принтер TOPPAN CP500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101480027</w:t>
            </w:r>
          </w:p>
        </w:tc>
        <w:tc>
          <w:tcPr>
            <w:tcW w:w="13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2014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Термін служби обладнання та вироблений ресурс на момент проведення діагностики перевищив очікуваний виробником термін (5 років та 100 000 зображень). Визначені під час діагностики вузли/деталі не можуть бути використані у подальшій експлуатації та потребують заміні. Зважаючи на термін використання/вироблений ресурс обладнання, подальша його експлуатація, після проведення ремонту, не виключатиме можливого виходу з ладу (поломок) інших вузлів/деталей.</w:t>
            </w:r>
          </w:p>
        </w:tc>
        <w:tc>
          <w:tcPr>
            <w:tcW w:w="21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29.01.2021</w:t>
            </w:r>
          </w:p>
        </w:tc>
      </w:tr>
      <w:tr>
        <w:trPr>
          <w:trHeight w:val="152" w:hRule="atLeast"/>
        </w:trPr>
        <w:tc>
          <w:tcPr>
            <w:tcW w:w="851" w:type="dxa"/>
            <w:tcBorders/>
            <w:vAlign w:val="center"/>
          </w:tcPr>
          <w:p>
            <w:pPr>
              <w:pStyle w:val="Caption111"/>
              <w:widowControl w:val="false"/>
              <w:suppressAutoHyphens w:val="true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en-US" w:bidi="ar-SA"/>
              </w:rPr>
              <w:t>6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Caption111"/>
              <w:widowControl w:val="false"/>
              <w:suppressAutoHyphens w:val="true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uk-UA" w:bidi="ar-SA"/>
              </w:rPr>
              <w:t>Балансоутримувач</w:t>
            </w:r>
          </w:p>
        </w:tc>
        <w:tc>
          <w:tcPr>
            <w:tcW w:w="11341" w:type="dxa"/>
            <w:gridSpan w:val="4"/>
            <w:tcBorders/>
            <w:vAlign w:val="center"/>
          </w:tcPr>
          <w:p>
            <w:pPr>
              <w:pStyle w:val="Caption111"/>
              <w:widowControl w:val="false"/>
              <w:suppressAutoHyphens w:val="true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uk-UA" w:bidi="ar-SA"/>
              </w:rPr>
              <w:t>Головний сервісний центр МВС</w:t>
              <w:br/>
              <w:t>Регіональний сервісний центр ГСЦ МВС у Вінницькій області (філія ГСЦ МВС)</w:t>
            </w:r>
          </w:p>
        </w:tc>
      </w:tr>
      <w:tr>
        <w:trPr>
          <w:trHeight w:val="152" w:hRule="atLeast"/>
        </w:trPr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en-US" w:bidi="ar-SA"/>
              </w:rPr>
              <w:t>6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.1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Програмно-апаратний комплекс TOPPAN CP500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101460346</w:t>
            </w:r>
          </w:p>
        </w:tc>
        <w:tc>
          <w:tcPr>
            <w:tcW w:w="13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2014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Строк експлуатації вказаного обладнання на момент проведення діагностики перевищив очікуваний виробником термін (5 років). Визначені під час діагностики вузли/деталі не можуть бути використані у подальшій експлуатації та потребують заміні. Зважаючи на термін використання/вироблений ресурс обладнання, подальша його експлуатація, після  проведення ремонту, не виключатиме можливого виходу з ладу (поломок) інших вузлів/деталей.</w:t>
            </w:r>
          </w:p>
        </w:tc>
        <w:tc>
          <w:tcPr>
            <w:tcW w:w="21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29.01.2021</w:t>
            </w:r>
          </w:p>
        </w:tc>
      </w:tr>
      <w:tr>
        <w:trPr>
          <w:trHeight w:val="3581" w:hRule="atLeast"/>
        </w:trPr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en-US" w:bidi="ar-SA"/>
              </w:rPr>
              <w:t>6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.2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Програмно-апаратний комплекс TOPPAN CP500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101460376</w:t>
            </w:r>
          </w:p>
        </w:tc>
        <w:tc>
          <w:tcPr>
            <w:tcW w:w="13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2014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Строк експлуатації вказаного обладнання на момент проведення діагностики перевищив очікуваний виробником термін (5 років). Визначені під час діагностики вузли/деталі не можуть бути використані у подальшій експлуатації та потребують заміні. Зважаючи на термін використання/вироблений ресурс обладнання, подальша його експлуатація, після проведення ремонту, не виключатиме можливого виходу з ладу (поломок) інших вузлів/деталей.</w:t>
            </w:r>
          </w:p>
        </w:tc>
        <w:tc>
          <w:tcPr>
            <w:tcW w:w="21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29.01.2021</w:t>
            </w:r>
          </w:p>
        </w:tc>
      </w:tr>
      <w:tr>
        <w:trPr>
          <w:trHeight w:val="798" w:hRule="atLeast"/>
        </w:trPr>
        <w:tc>
          <w:tcPr>
            <w:tcW w:w="851" w:type="dxa"/>
            <w:tcBorders/>
            <w:vAlign w:val="center"/>
          </w:tcPr>
          <w:p>
            <w:pPr>
              <w:pStyle w:val="Caption111"/>
              <w:widowControl w:val="false"/>
              <w:suppressAutoHyphens w:val="true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en-US" w:bidi="ar-SA"/>
              </w:rPr>
              <w:t>7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Caption111"/>
              <w:widowControl w:val="false"/>
              <w:suppressAutoHyphens w:val="true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uk-UA" w:bidi="ar-SA"/>
              </w:rPr>
              <w:t>Балансоутримувач</w:t>
            </w:r>
          </w:p>
        </w:tc>
        <w:tc>
          <w:tcPr>
            <w:tcW w:w="11341" w:type="dxa"/>
            <w:gridSpan w:val="4"/>
            <w:tcBorders/>
            <w:vAlign w:val="center"/>
          </w:tcPr>
          <w:p>
            <w:pPr>
              <w:pStyle w:val="Caption111"/>
              <w:widowControl w:val="false"/>
              <w:suppressAutoHyphens w:val="true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uk-UA" w:bidi="ar-SA"/>
              </w:rPr>
              <w:t>Головний сервісний центр МВС</w:t>
              <w:br/>
              <w:t>Регіональний сервісний центр ГСЦ МВС у Волинській області (філія ГСЦ МВС)</w:t>
            </w:r>
          </w:p>
        </w:tc>
      </w:tr>
      <w:tr>
        <w:trPr>
          <w:trHeight w:val="1204" w:hRule="atLeast"/>
        </w:trPr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en-US" w:bidi="ar-SA"/>
              </w:rPr>
              <w:t>7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.1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Програмно-апаратний комплект (Принтер Toppan CP500 з безконтактним енкодером)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101460146</w:t>
            </w:r>
          </w:p>
        </w:tc>
        <w:tc>
          <w:tcPr>
            <w:tcW w:w="13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2011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Принтер Toppan CP500 пошкоджений внаслідок пожежі у 2018 році.</w:t>
            </w:r>
          </w:p>
        </w:tc>
        <w:tc>
          <w:tcPr>
            <w:tcW w:w="21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29.01.2021</w:t>
            </w:r>
          </w:p>
        </w:tc>
      </w:tr>
      <w:tr>
        <w:trPr>
          <w:trHeight w:val="152" w:hRule="atLeast"/>
        </w:trPr>
        <w:tc>
          <w:tcPr>
            <w:tcW w:w="851" w:type="dxa"/>
            <w:tcBorders/>
            <w:vAlign w:val="center"/>
          </w:tcPr>
          <w:p>
            <w:pPr>
              <w:pStyle w:val="Caption111"/>
              <w:widowControl w:val="false"/>
              <w:suppressAutoHyphens w:val="true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en-US" w:bidi="ar-SA"/>
              </w:rPr>
              <w:t>10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Caption111"/>
              <w:widowControl w:val="false"/>
              <w:suppressAutoHyphens w:val="true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uk-UA" w:bidi="ar-SA"/>
              </w:rPr>
              <w:t>Балансоутримувач</w:t>
            </w:r>
          </w:p>
        </w:tc>
        <w:tc>
          <w:tcPr>
            <w:tcW w:w="11341" w:type="dxa"/>
            <w:gridSpan w:val="4"/>
            <w:tcBorders/>
            <w:vAlign w:val="center"/>
          </w:tcPr>
          <w:p>
            <w:pPr>
              <w:pStyle w:val="Caption111"/>
              <w:widowControl w:val="false"/>
              <w:suppressAutoHyphens w:val="true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uk-UA" w:bidi="ar-SA"/>
              </w:rPr>
              <w:t>Головний сервісний центр МВС</w:t>
              <w:br/>
              <w:t>Регіональний сервісний центр ГСЦ МВС в Закарпатській області (філія ГСЦ МВС)</w:t>
            </w:r>
          </w:p>
        </w:tc>
      </w:tr>
      <w:tr>
        <w:trPr>
          <w:trHeight w:val="152" w:hRule="atLeast"/>
        </w:trPr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1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en-US" w:bidi="ar-SA"/>
              </w:rPr>
              <w:t>0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.1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Програмно -апаратний комплекс системний блок, монітор цифрова пам'ять, сканер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101460126</w:t>
            </w:r>
          </w:p>
        </w:tc>
        <w:tc>
          <w:tcPr>
            <w:tcW w:w="13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2002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Рік введення в експлуатацію 2002, вийшли з ладу оперативна пам'ять та мікросхема  BIOS на материнській платі у системному блоці, пошкоджений кінескоп у моніторі, вийшла з ладу лампа сканування та пошкоджена механічна частина сканеру.</w:t>
            </w:r>
          </w:p>
        </w:tc>
        <w:tc>
          <w:tcPr>
            <w:tcW w:w="21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29.01.2021</w:t>
            </w:r>
          </w:p>
        </w:tc>
      </w:tr>
      <w:tr>
        <w:trPr>
          <w:trHeight w:val="1425" w:hRule="atLeast"/>
        </w:trPr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1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en-US" w:bidi="ar-SA"/>
              </w:rPr>
              <w:t>0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.2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Сервер</w:t>
              <w:br/>
              <w:t>БД області IBM kSeries 236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101480144</w:t>
            </w:r>
          </w:p>
        </w:tc>
        <w:tc>
          <w:tcPr>
            <w:tcW w:w="13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2007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Рік введення в експлуатацію 2007, вийшли з ладу мікропроцесор, блок живлення та плата контролера жорсткого диска (HDD) у сервері.</w:t>
            </w:r>
          </w:p>
        </w:tc>
        <w:tc>
          <w:tcPr>
            <w:tcW w:w="21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29.01.2021</w:t>
            </w:r>
          </w:p>
        </w:tc>
      </w:tr>
      <w:tr>
        <w:trPr>
          <w:trHeight w:val="1425" w:hRule="atLeast"/>
        </w:trPr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1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en-US" w:bidi="ar-SA"/>
              </w:rPr>
              <w:t>0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.3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Програмний-апаратний комплекс TOPPAN CP500 у складі: цифровий принтер, цифрова дзеркальна фотокамера, фотоапарат, пристрій зчитування підпису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101460148</w:t>
            </w:r>
          </w:p>
        </w:tc>
        <w:tc>
          <w:tcPr>
            <w:tcW w:w="13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2014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У пристрої вийшли з ладу термоголовка, касета</w:t>
              <w:br/>
              <w:t>трансферної плівки, прижимна направляюча.</w:t>
            </w:r>
          </w:p>
        </w:tc>
        <w:tc>
          <w:tcPr>
            <w:tcW w:w="21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24.02.2021</w:t>
            </w:r>
          </w:p>
        </w:tc>
      </w:tr>
      <w:tr>
        <w:trPr>
          <w:trHeight w:val="2088" w:hRule="atLeast"/>
        </w:trPr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1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en-US" w:bidi="ar-SA"/>
              </w:rPr>
              <w:t>0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.4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 xml:space="preserve">Програмно - апаратний </w:t>
              <w:br/>
              <w:t>комплекс TOPPAN CP500 у складі: цифровий принтер, цифрова дзеркальна фотокамера, фотоапарат, пристрій зчитування підпису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10146-0063</w:t>
            </w:r>
          </w:p>
        </w:tc>
        <w:tc>
          <w:tcPr>
            <w:tcW w:w="13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2002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У пристрої виведена з ладу терм оголовка, касета трансферної плівки, прижим, направляюча картка. Тривалий термін експлуатації.</w:t>
            </w:r>
          </w:p>
        </w:tc>
        <w:tc>
          <w:tcPr>
            <w:tcW w:w="21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25.08.2022</w:t>
            </w:r>
          </w:p>
        </w:tc>
      </w:tr>
      <w:tr>
        <w:trPr>
          <w:trHeight w:val="152" w:hRule="atLeast"/>
        </w:trPr>
        <w:tc>
          <w:tcPr>
            <w:tcW w:w="851" w:type="dxa"/>
            <w:tcBorders/>
            <w:vAlign w:val="center"/>
          </w:tcPr>
          <w:p>
            <w:pPr>
              <w:pStyle w:val="Caption111"/>
              <w:widowControl w:val="false"/>
              <w:suppressAutoHyphens w:val="true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uk-UA" w:bidi="ar-SA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en-US" w:bidi="ar-SA"/>
              </w:rPr>
              <w:t>1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Caption111"/>
              <w:widowControl w:val="false"/>
              <w:suppressAutoHyphens w:val="true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uk-UA" w:bidi="ar-SA"/>
              </w:rPr>
              <w:t>Балансоутримувач</w:t>
            </w:r>
          </w:p>
        </w:tc>
        <w:tc>
          <w:tcPr>
            <w:tcW w:w="11341" w:type="dxa"/>
            <w:gridSpan w:val="4"/>
            <w:tcBorders/>
            <w:vAlign w:val="center"/>
          </w:tcPr>
          <w:p>
            <w:pPr>
              <w:pStyle w:val="Caption111"/>
              <w:widowControl w:val="false"/>
              <w:suppressAutoHyphens w:val="true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uk-UA" w:bidi="ar-SA"/>
              </w:rPr>
              <w:t>Головний сервісний центр МВС</w:t>
              <w:br/>
              <w:t>Регіональний сервісний центр ГСЦ МВС в Полтавській області (філія ГСЦ МВС)</w:t>
            </w:r>
          </w:p>
        </w:tc>
      </w:tr>
      <w:tr>
        <w:trPr>
          <w:trHeight w:val="3803" w:hRule="atLeast"/>
        </w:trPr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1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en-US" w:bidi="ar-SA"/>
              </w:rPr>
              <w:t>1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.1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Програмно-апаратний комплекс у складі: пристрій для зчитування підпису Wacom STU-300, штатив Giottos GT-400, диск CD-R 700 MB Verbatim, цифровий принтер CP 500 Toppan, цифрова дзеркальна фотокамера Canon EOS1100Dв комплекті з об'єктивом 18-55IS II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101460517</w:t>
            </w:r>
          </w:p>
        </w:tc>
        <w:tc>
          <w:tcPr>
            <w:tcW w:w="13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2014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Знос направляючих картки; забруднення транспортного тракту; принтер друкує з забрудненням; знос нагрівального валу; помилка 65-11: вийшла з ладу головна плата управління; пошкоджена касета трансферної плівки; вийшла з ладу термоголовка.</w:t>
            </w:r>
          </w:p>
        </w:tc>
        <w:tc>
          <w:tcPr>
            <w:tcW w:w="21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29.01.2021</w:t>
            </w:r>
          </w:p>
        </w:tc>
      </w:tr>
      <w:tr>
        <w:trPr>
          <w:trHeight w:val="3072" w:hRule="atLeast"/>
        </w:trPr>
        <w:tc>
          <w:tcPr>
            <w:tcW w:w="851" w:type="dxa"/>
            <w:tcBorders>
              <w:right w:val="nil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sdt>
              <w:sdtPr>
                <w:id w:val="1323860288"/>
              </w:sdtPr>
              <w:sdtContent>
                <w:r>
                  <w:rPr>
                    <w:rFonts w:ascii="Times New Roman" w:hAnsi="Times New Roman"/>
                    <w:sz w:val="28"/>
                    <w:szCs w:val="28"/>
                  </w:rPr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t>11.2</w:t>
                </w:r>
              </w:sdtContent>
            </w:sdt>
          </w:p>
        </w:tc>
        <w:tc>
          <w:tcPr>
            <w:tcW w:w="4154" w:type="dxa"/>
            <w:tcBorders>
              <w:right w:val="nil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sdt>
              <w:sdtPr>
                <w:id w:val="-976378000"/>
                <w:showingPlcHdr/>
              </w:sdtPr>
              <w:sdtContent>
                <w:r>
                  <w:rPr>
                    <w:rFonts w:ascii="Times New Roman" w:hAnsi="Times New Roman"/>
                    <w:sz w:val="28"/>
                    <w:szCs w:val="28"/>
                  </w:rPr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t>Програмно-апаратний комплекс у складі: пристрій для зчитування підпису Wacom STU-300, штатив Giottos GT-400, диск CD-R 700 MB Verbatim, цифровий принтер CP 500 Toppan, цифрова дзеркальна фотокамера Canon EOS1100Dв комплекті з об'єктивом 18-55IS II</w:t>
                </w:r>
              </w:sdtContent>
            </w:sdt>
          </w:p>
        </w:tc>
        <w:tc>
          <w:tcPr>
            <w:tcW w:w="1842" w:type="dxa"/>
            <w:tcBorders>
              <w:right w:val="nil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sdt>
              <w:sdtPr>
                <w:id w:val="-569191100"/>
                <w:showingPlcHdr/>
              </w:sdtPr>
              <w:sdtContent>
                <w:r>
                  <w:rPr>
                    <w:rFonts w:ascii="Times New Roman" w:hAnsi="Times New Roman"/>
                    <w:sz w:val="28"/>
                    <w:szCs w:val="28"/>
                  </w:rPr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t>101460516</w:t>
                </w:r>
              </w:sdtContent>
            </w:sdt>
          </w:p>
        </w:tc>
        <w:tc>
          <w:tcPr>
            <w:tcW w:w="1375" w:type="dxa"/>
            <w:tcBorders>
              <w:right w:val="nil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sdt>
              <w:sdtPr>
                <w:id w:val="-88930088"/>
                <w:showingPlcHdr/>
              </w:sdtPr>
              <w:sdtContent>
                <w:r>
                  <w:rPr>
                    <w:rFonts w:ascii="Times New Roman" w:hAnsi="Times New Roman"/>
                    <w:sz w:val="28"/>
                    <w:szCs w:val="28"/>
                  </w:rPr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t>2014</w:t>
                </w:r>
              </w:sdtContent>
            </w:sdt>
          </w:p>
        </w:tc>
        <w:tc>
          <w:tcPr>
            <w:tcW w:w="5955" w:type="dxa"/>
            <w:tcBorders>
              <w:right w:val="nil"/>
            </w:tcBorders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sdt>
              <w:sdtPr>
                <w:id w:val="-2091763841"/>
                <w:showingPlcHdr/>
              </w:sdtPr>
              <w:sdtContent>
                <w:r>
                  <w:rPr>
                    <w:rFonts w:ascii="Times New Roman" w:hAnsi="Times New Roman"/>
                    <w:sz w:val="28"/>
                    <w:szCs w:val="28"/>
                  </w:rPr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t>Знос направляючих карток; забруднення транспортного тракту; принтер друкує з забрудненням; знос нагрівального валу; пошкоджена касета кольорової стрічки; пошкоджена касета трансферної плівки; вийшла з ладу термоголовка.</w:t>
                </w:r>
              </w:sdtContent>
            </w:sdt>
          </w:p>
        </w:tc>
        <w:tc>
          <w:tcPr>
            <w:tcW w:w="2169" w:type="dxa"/>
            <w:tcBorders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sdt>
              <w:sdtPr>
                <w:id w:val="1114023537"/>
                <w:showingPlcHdr/>
              </w:sdtPr>
              <w:sdtContent>
                <w:r>
                  <w:rPr>
                    <w:rFonts w:ascii="Times New Roman" w:hAnsi="Times New Roman"/>
                    <w:sz w:val="28"/>
                    <w:szCs w:val="28"/>
                  </w:rPr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t>29.01.2021</w:t>
                </w:r>
              </w:sdtContent>
            </w:sdt>
          </w:p>
        </w:tc>
      </w:tr>
      <w:tr>
        <w:trPr>
          <w:trHeight w:val="152" w:hRule="atLeast"/>
        </w:trPr>
        <w:tc>
          <w:tcPr>
            <w:tcW w:w="851" w:type="dxa"/>
            <w:tcBorders/>
            <w:vAlign w:val="center"/>
          </w:tcPr>
          <w:p>
            <w:pPr>
              <w:pStyle w:val="Caption111"/>
              <w:widowControl w:val="false"/>
              <w:suppressAutoHyphens w:val="true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uk-UA" w:bidi="ar-SA"/>
              </w:rPr>
              <w:t>12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Caption111"/>
              <w:widowControl w:val="false"/>
              <w:suppressAutoHyphens w:val="true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uk-UA" w:bidi="ar-SA"/>
              </w:rPr>
              <w:t>Балансоутримувач</w:t>
            </w:r>
          </w:p>
        </w:tc>
        <w:tc>
          <w:tcPr>
            <w:tcW w:w="11341" w:type="dxa"/>
            <w:gridSpan w:val="4"/>
            <w:tcBorders/>
            <w:vAlign w:val="center"/>
          </w:tcPr>
          <w:p>
            <w:pPr>
              <w:pStyle w:val="Caption111"/>
              <w:widowControl w:val="false"/>
              <w:suppressAutoHyphens w:val="true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uk-UA" w:bidi="ar-SA"/>
              </w:rPr>
              <w:t>Головний сервісний центр МВС</w:t>
              <w:br/>
              <w:t>Регіональний сервісний центр ГСЦ МВС в Івано-Франківській області</w:t>
              <w:br/>
              <w:t>(філія ГСЦ МВС)</w:t>
            </w:r>
          </w:p>
        </w:tc>
      </w:tr>
      <w:tr>
        <w:trPr>
          <w:trHeight w:val="3809" w:hRule="atLeast"/>
        </w:trPr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12.1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Програмно апаратний комплекс Тoppan СР500 серійний номер В 4401918 в комплекті (цифровий принтер, камера, пристрій для зчитування підпису, штатив, диск)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101460041</w:t>
            </w:r>
          </w:p>
        </w:tc>
        <w:tc>
          <w:tcPr>
            <w:tcW w:w="13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2014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Термін служби обладнання та вироблений ресурс на момент проведення діагностики перевищив очікуваний виробником термін (5 років та 100 000 зображень); Визначені під час діагностики вузли /деталі не можуть бути використані у подальшій експлуатації та потребують заміни. Зважаючи на термін використання/вироблений ресурс обладнання, подальша його експлуатація, після проведення ремонту, не виключатиме можливого виходу з ладу (поломок) інших вузлів/деталей.</w:t>
            </w:r>
          </w:p>
        </w:tc>
        <w:tc>
          <w:tcPr>
            <w:tcW w:w="21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29.01.2021</w:t>
            </w:r>
          </w:p>
        </w:tc>
      </w:tr>
      <w:tr>
        <w:trPr>
          <w:trHeight w:val="3831" w:hRule="atLeast"/>
        </w:trPr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12.2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Програмно апаратний комплекс Тoppan СР500 серійний номер В 4401981 в комплекті (цифровий принтер, камера, пристрій для зчитування підпису, штатив, диск)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101460134</w:t>
            </w:r>
          </w:p>
        </w:tc>
        <w:tc>
          <w:tcPr>
            <w:tcW w:w="13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-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Термін служби обладнання та вироблений ресурс на момент проведення діагностики перевищив очікуваний виробником термін (5 років та 100 000 зображень). Визначені під час діагностики вузли /деталі не можуть бути використані у подальшій експлуатації та потребують заміни. Зважаючи на термін використання/вироблений ресурс обладнання, подальша його експлуатація, після проведення ремонту, не виключатиме можливого виходу з ладу (поломок) інших вузлів/деталей.</w:t>
            </w:r>
          </w:p>
        </w:tc>
        <w:tc>
          <w:tcPr>
            <w:tcW w:w="21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29.01.2021</w:t>
            </w:r>
          </w:p>
        </w:tc>
      </w:tr>
      <w:tr>
        <w:trPr>
          <w:trHeight w:val="958" w:hRule="atLeast"/>
        </w:trPr>
        <w:tc>
          <w:tcPr>
            <w:tcW w:w="851" w:type="dxa"/>
            <w:tcBorders/>
            <w:vAlign w:val="center"/>
          </w:tcPr>
          <w:p>
            <w:pPr>
              <w:pStyle w:val="Caption111"/>
              <w:widowControl w:val="false"/>
              <w:suppressAutoHyphens w:val="true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uk-UA" w:bidi="ar-SA"/>
              </w:rPr>
              <w:t>13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Caption111"/>
              <w:widowControl w:val="false"/>
              <w:suppressAutoHyphens w:val="true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uk-UA" w:bidi="ar-SA"/>
              </w:rPr>
              <w:t>Балансоутримувач</w:t>
            </w:r>
          </w:p>
        </w:tc>
        <w:tc>
          <w:tcPr>
            <w:tcW w:w="11341" w:type="dxa"/>
            <w:gridSpan w:val="4"/>
            <w:tcBorders/>
            <w:vAlign w:val="center"/>
          </w:tcPr>
          <w:p>
            <w:pPr>
              <w:pStyle w:val="Caption111"/>
              <w:widowControl w:val="false"/>
              <w:suppressAutoHyphens w:val="true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uk-UA" w:bidi="ar-SA"/>
              </w:rPr>
              <w:t>Головний сервісний центр МВС</w:t>
              <w:br/>
              <w:t>Регіональний сервісний центр ГСЦ МВС в Запорізькій області (філія ГСЦ МВС)</w:t>
            </w:r>
          </w:p>
        </w:tc>
      </w:tr>
      <w:tr>
        <w:trPr>
          <w:trHeight w:val="2700" w:hRule="atLeast"/>
        </w:trPr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13.1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 xml:space="preserve">Програмно-аппаратний </w:t>
              <w:br/>
              <w:t xml:space="preserve">комплекс </w:t>
              <w:br/>
              <w:t>(Цифр. принт CP500Toppan; штатив Giottos, диск CD-R700MB, Wacom STU300; Canon EOS1100D в к-кті з об'єктивом 18-55IS II) B4501944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101460097</w:t>
            </w:r>
          </w:p>
        </w:tc>
        <w:tc>
          <w:tcPr>
            <w:tcW w:w="13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-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 xml:space="preserve">Термін служби обладнання та вироблений </w:t>
              <w:br/>
              <w:t>ресурс на момент проведення діагностики перевищив очікуваний виробником термін експлуатації (5 років). Визначені під час діагностики вузли та деталі не можуть бути використані у подальшій експлуатації та потребують заміни. Обладнання є непридатним до експлуатації.</w:t>
            </w:r>
          </w:p>
        </w:tc>
        <w:tc>
          <w:tcPr>
            <w:tcW w:w="21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27.03.2021</w:t>
            </w:r>
          </w:p>
        </w:tc>
      </w:tr>
      <w:tr>
        <w:trPr>
          <w:trHeight w:val="886" w:hRule="atLeast"/>
        </w:trPr>
        <w:tc>
          <w:tcPr>
            <w:tcW w:w="851" w:type="dxa"/>
            <w:tcBorders/>
            <w:vAlign w:val="center"/>
          </w:tcPr>
          <w:p>
            <w:pPr>
              <w:pStyle w:val="Caption111"/>
              <w:widowControl w:val="false"/>
              <w:suppressAutoHyphens w:val="true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uk-UA" w:bidi="ar-SA"/>
              </w:rPr>
              <w:t>14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Caption111"/>
              <w:widowControl w:val="false"/>
              <w:suppressAutoHyphens w:val="true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uk-UA" w:bidi="ar-SA"/>
              </w:rPr>
              <w:t>Балансоутримувач</w:t>
            </w:r>
          </w:p>
        </w:tc>
        <w:tc>
          <w:tcPr>
            <w:tcW w:w="11341" w:type="dxa"/>
            <w:gridSpan w:val="4"/>
            <w:tcBorders/>
            <w:vAlign w:val="center"/>
          </w:tcPr>
          <w:p>
            <w:pPr>
              <w:pStyle w:val="Caption111"/>
              <w:widowControl w:val="false"/>
              <w:suppressAutoHyphens w:val="true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uk-UA" w:bidi="ar-SA"/>
              </w:rPr>
              <w:t>Головний сервісний центр МВС</w:t>
              <w:br/>
              <w:t>Регіональний сервісний центр ГСЦ МВС в Херсонській області (філія ГСЦ МВС)</w:t>
            </w:r>
          </w:p>
        </w:tc>
      </w:tr>
      <w:tr>
        <w:trPr>
          <w:trHeight w:val="2887" w:hRule="atLeast"/>
        </w:trPr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14.1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Програмно-апаратний комплект (Принтер Toppan CP500) В4501962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101460155</w:t>
            </w:r>
          </w:p>
        </w:tc>
        <w:tc>
          <w:tcPr>
            <w:tcW w:w="13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2014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 xml:space="preserve">Термін служби обладнання та вироблений </w:t>
              <w:br/>
              <w:t>ресурс на момент проведення діагностики перевищив очікуваний виробником термін експлуатації (5 років). Визначені під час діагностики вузли та деталі не можуть бути використані у подальшій експлуатації та потребують заміні. Обладнання є непридатним до експлуатації.</w:t>
            </w:r>
          </w:p>
        </w:tc>
        <w:tc>
          <w:tcPr>
            <w:tcW w:w="21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27.03.2021</w:t>
            </w:r>
          </w:p>
        </w:tc>
      </w:tr>
      <w:tr>
        <w:trPr>
          <w:trHeight w:val="907" w:hRule="atLeast"/>
        </w:trPr>
        <w:tc>
          <w:tcPr>
            <w:tcW w:w="851" w:type="dxa"/>
            <w:tcBorders/>
            <w:vAlign w:val="center"/>
          </w:tcPr>
          <w:p>
            <w:pPr>
              <w:pStyle w:val="Caption111"/>
              <w:widowControl w:val="false"/>
              <w:suppressAutoHyphens w:val="true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uk-UA" w:bidi="ar-SA"/>
              </w:rPr>
              <w:t>15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Caption111"/>
              <w:widowControl w:val="false"/>
              <w:suppressAutoHyphens w:val="true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uk-UA" w:bidi="ar-SA"/>
              </w:rPr>
              <w:t>Балансоутримувач</w:t>
            </w:r>
          </w:p>
        </w:tc>
        <w:tc>
          <w:tcPr>
            <w:tcW w:w="11341" w:type="dxa"/>
            <w:gridSpan w:val="4"/>
            <w:tcBorders/>
            <w:vAlign w:val="center"/>
          </w:tcPr>
          <w:p>
            <w:pPr>
              <w:pStyle w:val="Caption111"/>
              <w:widowControl w:val="false"/>
              <w:suppressAutoHyphens w:val="true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uk-UA" w:bidi="ar-SA"/>
              </w:rPr>
              <w:t>Головний сервісний центр МВС</w:t>
              <w:br/>
              <w:t>Регіональний сервісний центр ГСЦ МВС в Чернігівській області (філія ГСЦ МВС)</w:t>
            </w:r>
          </w:p>
        </w:tc>
      </w:tr>
      <w:tr>
        <w:trPr>
          <w:trHeight w:val="1685" w:hRule="atLeast"/>
        </w:trPr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15.1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Сервер БД області IBM x Series  236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101460070</w:t>
            </w:r>
          </w:p>
        </w:tc>
        <w:tc>
          <w:tcPr>
            <w:tcW w:w="13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2007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Сервер морально застарілий, недостатність ОЗУ, мала потужність процесора, несправність SCSI жорстких дисків та контролера RAID SCSI жорстких дисків.</w:t>
            </w:r>
          </w:p>
        </w:tc>
        <w:tc>
          <w:tcPr>
            <w:tcW w:w="21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27.03.2021</w:t>
            </w:r>
          </w:p>
        </w:tc>
      </w:tr>
      <w:tr>
        <w:trPr>
          <w:trHeight w:val="1147" w:hRule="atLeast"/>
        </w:trPr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15.2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Сервер БД області ІВМ х Series  236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101460070</w:t>
            </w:r>
          </w:p>
        </w:tc>
        <w:tc>
          <w:tcPr>
            <w:tcW w:w="13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2007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Недостатність ОЗУ, несправність SCSI жорстких дисків, несправність контролера  RAID SCSI жорстких дисків.</w:t>
            </w:r>
          </w:p>
        </w:tc>
        <w:tc>
          <w:tcPr>
            <w:tcW w:w="21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31.07.2023</w:t>
            </w:r>
          </w:p>
        </w:tc>
      </w:tr>
      <w:tr>
        <w:trPr>
          <w:trHeight w:val="699" w:hRule="atLeast"/>
        </w:trPr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8"/>
                <w:szCs w:val="28"/>
                <w:lang w:val="uk-UA" w:bidi="ar-SA"/>
              </w:rPr>
              <w:t>16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8"/>
                <w:szCs w:val="28"/>
                <w:lang w:val="uk-UA" w:bidi="ar-SA"/>
              </w:rPr>
              <w:t>Балансоутримувач</w:t>
            </w:r>
          </w:p>
        </w:tc>
        <w:tc>
          <w:tcPr>
            <w:tcW w:w="1134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8"/>
                <w:szCs w:val="28"/>
                <w:lang w:val="uk-UA" w:bidi="ar-SA"/>
              </w:rPr>
              <w:t>Головний сервісний центр МВС</w:t>
              <w:br/>
              <w:t>Регіональний сервісний центр ГСЦ МВС в Одеській області (філія ГСЦ МВС)</w:t>
            </w:r>
          </w:p>
        </w:tc>
      </w:tr>
      <w:tr>
        <w:trPr>
          <w:trHeight w:val="268" w:hRule="atLeast"/>
        </w:trPr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16.1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Програмно-апаратний комплекс у складі: диск CD-R 700 MB Verbatim, штатив Giottos GT-400, пристрій для зчитування підпису Wacom STU-300, цифрова дзеркальна фотокамера Canon EOS1100D в комплекті з об’єктивом 18-55IS II, цифровий принтер CP 500 Toppan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101460226</w:t>
            </w:r>
          </w:p>
        </w:tc>
        <w:tc>
          <w:tcPr>
            <w:tcW w:w="13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2014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Термін служби обладнання та вироблений ресурс на момент проведення діагностики перевищив очікуваний виробником термін (5 років та 100 000 зображень). Визначені під час діагностики вузли/деталі не можуть бути використані у подальшій експлуатації та потребують заміні. Зважаючи на термін використання/вироблений ресурс обладнання, подальша його експлуатація, після проведення ремонту, не виключатиме можливого виходу з ладу (поломок) інших вузлів/деталей. Обладнання являється непридатним до експлуатації та рекомендується до списання.</w:t>
            </w:r>
          </w:p>
        </w:tc>
        <w:tc>
          <w:tcPr>
            <w:tcW w:w="21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30.12.2020</w:t>
            </w:r>
          </w:p>
        </w:tc>
      </w:tr>
      <w:tr>
        <w:trPr>
          <w:trHeight w:val="786" w:hRule="atLeast"/>
        </w:trPr>
        <w:tc>
          <w:tcPr>
            <w:tcW w:w="851" w:type="dxa"/>
            <w:tcBorders/>
            <w:vAlign w:val="center"/>
          </w:tcPr>
          <w:p>
            <w:pPr>
              <w:pStyle w:val="Caption111"/>
              <w:widowControl w:val="false"/>
              <w:suppressAutoHyphens w:val="true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uk-UA" w:bidi="ar-SA"/>
              </w:rPr>
              <w:t>17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Caption111"/>
              <w:widowControl w:val="false"/>
              <w:suppressAutoHyphens w:val="true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uk-UA" w:bidi="ar-SA"/>
              </w:rPr>
              <w:t>Балансоутримувач</w:t>
            </w:r>
          </w:p>
        </w:tc>
        <w:tc>
          <w:tcPr>
            <w:tcW w:w="11341" w:type="dxa"/>
            <w:gridSpan w:val="4"/>
            <w:tcBorders/>
            <w:vAlign w:val="center"/>
          </w:tcPr>
          <w:p>
            <w:pPr>
              <w:pStyle w:val="Caption111"/>
              <w:widowControl w:val="false"/>
              <w:suppressAutoHyphens w:val="true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kern w:val="0"/>
                <w:sz w:val="28"/>
                <w:szCs w:val="28"/>
                <w:lang w:val="uk-UA" w:bidi="ar-SA"/>
              </w:rPr>
              <w:t>Львівський державний університет внутрішніх справ</w:t>
            </w:r>
          </w:p>
        </w:tc>
      </w:tr>
      <w:tr>
        <w:trPr>
          <w:trHeight w:val="1415" w:hRule="atLeast"/>
        </w:trPr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17.1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 xml:space="preserve">Коплекс копіювальний </w:t>
              <w:br/>
              <w:t>Sajex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101480076</w:t>
            </w:r>
          </w:p>
        </w:tc>
        <w:tc>
          <w:tcPr>
            <w:tcW w:w="13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-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Втрата контактів блоків формування зображення. Не працює вузол попереднього нагріву та перешкоджання перекосу паперу. Знос фотовала, вийшов з ладу термоелемент.</w:t>
            </w:r>
          </w:p>
        </w:tc>
        <w:tc>
          <w:tcPr>
            <w:tcW w:w="21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29.01.2021</w:t>
            </w:r>
          </w:p>
        </w:tc>
      </w:tr>
      <w:tr>
        <w:trPr>
          <w:trHeight w:val="1270" w:hRule="atLeast"/>
        </w:trPr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17.2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КМА Sajex - 3000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101480075</w:t>
            </w:r>
          </w:p>
        </w:tc>
        <w:tc>
          <w:tcPr>
            <w:tcW w:w="13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-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Розтріскування корпусу у місцях кріплень, деформація. Перегорання низьковольтних мікросхем. Пошкодження контактів.</w:t>
            </w:r>
          </w:p>
        </w:tc>
        <w:tc>
          <w:tcPr>
            <w:tcW w:w="21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29.01.2021</w:t>
            </w:r>
          </w:p>
        </w:tc>
      </w:tr>
      <w:tr>
        <w:trPr>
          <w:trHeight w:val="898" w:hRule="atLeast"/>
        </w:trPr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8"/>
                <w:szCs w:val="28"/>
                <w:lang w:val="uk-UA" w:bidi="ar-SA"/>
              </w:rPr>
              <w:t>18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8"/>
                <w:szCs w:val="28"/>
                <w:lang w:val="uk-UA" w:bidi="ar-SA"/>
              </w:rPr>
              <w:t>Балансоутримувач</w:t>
            </w:r>
          </w:p>
        </w:tc>
        <w:tc>
          <w:tcPr>
            <w:tcW w:w="1134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8"/>
                <w:szCs w:val="28"/>
                <w:lang w:val="uk-UA" w:bidi="ar-SA"/>
              </w:rPr>
              <w:t>Державна установа «Центр обслуговування підрозділів МВС України»</w:t>
            </w:r>
          </w:p>
        </w:tc>
      </w:tr>
      <w:tr>
        <w:trPr>
          <w:trHeight w:val="1270" w:hRule="atLeast"/>
        </w:trPr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18.1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Комплект центральних серверів PY BX600 S2 Blade Server System unit PY BX630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10146-1846</w:t>
            </w:r>
          </w:p>
        </w:tc>
        <w:tc>
          <w:tcPr>
            <w:tcW w:w="13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2006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Недостатність ОЗУ, несправність SCSI жорстких дисків, несправність контролера  RAID SCSI жорстких дисків.</w:t>
            </w:r>
          </w:p>
        </w:tc>
        <w:tc>
          <w:tcPr>
            <w:tcW w:w="21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31.01.2024</w:t>
            </w:r>
          </w:p>
        </w:tc>
      </w:tr>
      <w:tr>
        <w:trPr>
          <w:trHeight w:val="1270" w:hRule="atLeast"/>
        </w:trPr>
        <w:tc>
          <w:tcPr>
            <w:tcW w:w="851" w:type="dxa"/>
            <w:tcBorders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18.2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Сервер lntel Core2DuoE64202,13GHz/1024MbDDR2/HDD320GBS-ATA/DVD+/-RW/TapeHDD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10146-1987</w:t>
            </w:r>
          </w:p>
        </w:tc>
        <w:tc>
          <w:tcPr>
            <w:tcW w:w="1375" w:type="dxa"/>
            <w:tcBorders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Вийшли з ладу жорсткі диски та контролери для зчитування інформації.</w:t>
            </w:r>
          </w:p>
        </w:tc>
        <w:tc>
          <w:tcPr>
            <w:tcW w:w="2169" w:type="dxa"/>
            <w:tcBorders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31.01.2024</w:t>
            </w:r>
          </w:p>
        </w:tc>
      </w:tr>
      <w:tr>
        <w:trPr>
          <w:trHeight w:val="1270" w:hRule="atLeast"/>
        </w:trPr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18.3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Сервер Reserve Server SP-1400 Xeon QC 2x2.4GHz-24GB-8x147GB-DVD-RW-SCSI-BBU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10146-2973</w:t>
            </w:r>
          </w:p>
        </w:tc>
        <w:tc>
          <w:tcPr>
            <w:tcW w:w="13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2010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Вийшли з ладу жорсткі диски та контролери для зчитування інформації.</w:t>
            </w:r>
          </w:p>
        </w:tc>
        <w:tc>
          <w:tcPr>
            <w:tcW w:w="21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31.01.2024</w:t>
            </w:r>
          </w:p>
        </w:tc>
      </w:tr>
      <w:tr>
        <w:trPr>
          <w:trHeight w:val="1270" w:hRule="atLeast"/>
        </w:trPr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18.4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Сервер Center Server SP-1400 Xeon QC 2x2.4GHz-24GB-8x147GB-DVD-RW-SCSI-BBU-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10146-2974</w:t>
            </w:r>
          </w:p>
        </w:tc>
        <w:tc>
          <w:tcPr>
            <w:tcW w:w="13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2010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Сервер морально застарілий, недостатність ОЗУ, мала потужність процесора, несправність SCSI жорстких дисків та контролера RAID SCSI жорстких дисків.</w:t>
            </w:r>
          </w:p>
        </w:tc>
        <w:tc>
          <w:tcPr>
            <w:tcW w:w="21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31.01.2024</w:t>
            </w:r>
          </w:p>
        </w:tc>
      </w:tr>
      <w:tr>
        <w:trPr>
          <w:trHeight w:val="1270" w:hRule="atLeast"/>
        </w:trPr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18.5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Пристрій архівування SCI 5005U 36 Slots 2 driver LTO-3 SCSI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10148-3165</w:t>
            </w:r>
          </w:p>
        </w:tc>
        <w:tc>
          <w:tcPr>
            <w:tcW w:w="13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2010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Сервер морально застарілий, недостатність ОЗУ, мала потужність процесора, несправність SCSI жорстких дисків та контролера RAID SCSI жорстких дисків.</w:t>
            </w:r>
          </w:p>
        </w:tc>
        <w:tc>
          <w:tcPr>
            <w:tcW w:w="21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31.01.2024</w:t>
            </w:r>
          </w:p>
        </w:tc>
      </w:tr>
      <w:tr>
        <w:trPr>
          <w:trHeight w:val="1270" w:hRule="atLeast"/>
        </w:trPr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18.6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ПК Apple A1289 MAC PRO TWO 2.26GHz Guad-Core Intel Xeon в к-ті: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10146-3110</w:t>
            </w:r>
          </w:p>
        </w:tc>
        <w:tc>
          <w:tcPr>
            <w:tcW w:w="13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2011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Виведена з ладу материнська плата та процесор. Вартість ремонту та запчастин дорівнює вартості обладнання.</w:t>
            </w:r>
          </w:p>
        </w:tc>
        <w:tc>
          <w:tcPr>
            <w:tcW w:w="21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31.01.2024</w:t>
            </w:r>
          </w:p>
        </w:tc>
      </w:tr>
      <w:tr>
        <w:trPr>
          <w:trHeight w:val="1270" w:hRule="atLeast"/>
        </w:trPr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18.7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Комп’ютер Pentium-90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10146-0118</w:t>
            </w:r>
          </w:p>
        </w:tc>
        <w:tc>
          <w:tcPr>
            <w:tcW w:w="13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1998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Знаходиться в неробочому стані, ремонт або відновлення техніки провести неможливо, оскільки елементна база, використана при її виготовлені, морально та фізично застаріла.</w:t>
            </w:r>
          </w:p>
        </w:tc>
        <w:tc>
          <w:tcPr>
            <w:tcW w:w="21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31.01.2024</w:t>
            </w:r>
          </w:p>
        </w:tc>
      </w:tr>
      <w:tr>
        <w:trPr>
          <w:trHeight w:val="1270" w:hRule="atLeast"/>
        </w:trPr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18.8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 xml:space="preserve">Сервер автоматичної телефоної довідки на базі програмно-апаратного комплексу 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10148-3267</w:t>
            </w:r>
          </w:p>
        </w:tc>
        <w:tc>
          <w:tcPr>
            <w:tcW w:w="13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2011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Недостатність ОЗУ, несправність SCSI жорстких дисків, несправність контролера RAID SCSI жорстких дисків.</w:t>
            </w:r>
          </w:p>
        </w:tc>
        <w:tc>
          <w:tcPr>
            <w:tcW w:w="21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27.02.2024</w:t>
            </w:r>
          </w:p>
        </w:tc>
      </w:tr>
      <w:tr>
        <w:trPr>
          <w:trHeight w:val="1270" w:hRule="atLeast"/>
        </w:trPr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18.9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Сервер IP телефонії СМ-7835 у скл: ап.пл.серв/1-річ.підт. ПЗ/3- річ.підтр.ап.п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10146-2888</w:t>
            </w:r>
          </w:p>
        </w:tc>
        <w:tc>
          <w:tcPr>
            <w:tcW w:w="13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2009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Сервер морально застарілий, недостатність ОЗУ, мала потужність процесора, несправність SCSI жорстких дисків та контролера RAID SCSI жорстких дисків.</w:t>
            </w:r>
          </w:p>
        </w:tc>
        <w:tc>
          <w:tcPr>
            <w:tcW w:w="21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27.02.2024</w:t>
            </w:r>
          </w:p>
        </w:tc>
      </w:tr>
      <w:tr>
        <w:trPr>
          <w:trHeight w:val="1270" w:hRule="atLeast"/>
        </w:trPr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18.10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Сервер IP телефонії СМ-7835 у скл: ап.пл.серв/1-річ.підт. ПЗ/3- річ.підтр.ап.п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10146-2887</w:t>
            </w:r>
          </w:p>
        </w:tc>
        <w:tc>
          <w:tcPr>
            <w:tcW w:w="13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2009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Вийшли з ладу жорсткі диски та контролери для зчитування інформації.</w:t>
            </w:r>
          </w:p>
        </w:tc>
        <w:tc>
          <w:tcPr>
            <w:tcW w:w="21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27.02.2024</w:t>
            </w:r>
          </w:p>
        </w:tc>
      </w:tr>
      <w:tr>
        <w:trPr>
          <w:trHeight w:val="1419" w:hRule="atLeast"/>
        </w:trPr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18.11</w:t>
            </w:r>
          </w:p>
        </w:tc>
        <w:tc>
          <w:tcPr>
            <w:tcW w:w="41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Сервер РзБнД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10146-0037</w:t>
            </w:r>
          </w:p>
        </w:tc>
        <w:tc>
          <w:tcPr>
            <w:tcW w:w="13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2005</w:t>
            </w:r>
          </w:p>
        </w:tc>
        <w:tc>
          <w:tcPr>
            <w:tcW w:w="595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Сервер морально застарілий, недостатність ОЗУ, мала потужність процесора, несправність SCSI жорстких дисків та та контролера RAID SCSI жорстких дисків.</w:t>
            </w:r>
          </w:p>
        </w:tc>
        <w:tc>
          <w:tcPr>
            <w:tcW w:w="21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27.02.2024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851" w:right="851" w:gutter="0" w:header="0" w:top="426" w:footer="0" w:bottom="283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uk-UA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00ea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Arial" w:cs="Arial" w:eastAsiaTheme="minorEastAsia"/>
      <w:color w:val="auto"/>
      <w:kern w:val="0"/>
      <w:sz w:val="22"/>
      <w:szCs w:val="22"/>
      <w:lang w:val="uk-UA" w:eastAsia="ru-RU" w:bidi="ar-SA"/>
      <w14:ligatures w14:val="none"/>
    </w:rPr>
  </w:style>
  <w:style w:type="paragraph" w:styleId="Heading1">
    <w:name w:val="Heading 1"/>
    <w:basedOn w:val="Normal"/>
    <w:next w:val="Normal"/>
    <w:link w:val="1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/>
      <w:sz w:val="40"/>
      <w:szCs w:val="40"/>
    </w:rPr>
  </w:style>
  <w:style w:type="paragraph" w:styleId="Heading2">
    <w:name w:val="Heading 2"/>
    <w:basedOn w:val="Normal"/>
    <w:next w:val="Normal"/>
    <w:link w:val="2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/>
      <w:sz w:val="34"/>
    </w:rPr>
  </w:style>
  <w:style w:type="paragraph" w:styleId="Heading3">
    <w:name w:val="Heading 3"/>
    <w:basedOn w:val="Normal"/>
    <w:next w:val="Normal"/>
    <w:link w:val="3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/>
      <w:sz w:val="30"/>
      <w:szCs w:val="30"/>
    </w:rPr>
  </w:style>
  <w:style w:type="paragraph" w:styleId="Heading4">
    <w:name w:val="Heading 4"/>
    <w:basedOn w:val="Normal"/>
    <w:next w:val="Normal"/>
    <w:link w:val="4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5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6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/>
      <w:b/>
      <w:bCs/>
    </w:rPr>
  </w:style>
  <w:style w:type="paragraph" w:styleId="Heading7">
    <w:name w:val="Heading 7"/>
    <w:basedOn w:val="Normal"/>
    <w:next w:val="Normal"/>
    <w:link w:val="7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/>
      <w:b/>
      <w:bCs/>
      <w:i/>
      <w:iCs/>
    </w:rPr>
  </w:style>
  <w:style w:type="paragraph" w:styleId="Heading8">
    <w:name w:val="Heading 8"/>
    <w:basedOn w:val="Normal"/>
    <w:next w:val="Normal"/>
    <w:link w:val="8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/>
      <w:i/>
      <w:iCs/>
    </w:rPr>
  </w:style>
  <w:style w:type="paragraph" w:styleId="Heading9">
    <w:name w:val="Heading 9"/>
    <w:basedOn w:val="Normal"/>
    <w:next w:val="Normal"/>
    <w:link w:val="9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 w:customStyle="1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basedOn w:val="DefaultParagraphFont"/>
    <w:uiPriority w:val="10"/>
    <w:qFormat/>
    <w:rPr>
      <w:sz w:val="48"/>
      <w:szCs w:val="48"/>
    </w:rPr>
  </w:style>
  <w:style w:type="character" w:styleId="SubtitleChar" w:customStyle="1">
    <w:name w:val="Subtitle Char"/>
    <w:basedOn w:val="DefaultParagraphFont"/>
    <w:uiPriority w:val="11"/>
    <w:qFormat/>
    <w:rPr>
      <w:sz w:val="24"/>
      <w:szCs w:val="24"/>
    </w:rPr>
  </w:style>
  <w:style w:type="character" w:styleId="QuoteChar" w:customStyle="1">
    <w:name w:val="Quote Char"/>
    <w:uiPriority w:val="29"/>
    <w:qFormat/>
    <w:rPr>
      <w:i/>
    </w:rPr>
  </w:style>
  <w:style w:type="character" w:styleId="IntenseQuoteChar" w:customStyle="1">
    <w:name w:val="Intense Quote Char"/>
    <w:uiPriority w:val="30"/>
    <w:qFormat/>
    <w:rPr>
      <w:i/>
    </w:rPr>
  </w:style>
  <w:style w:type="character" w:styleId="HeaderChar" w:customStyle="1">
    <w:name w:val="Header Char"/>
    <w:basedOn w:val="DefaultParagraphFont"/>
    <w:uiPriority w:val="99"/>
    <w:qFormat/>
    <w:rPr/>
  </w:style>
  <w:style w:type="character" w:styleId="CaptionChar" w:customStyle="1">
    <w:name w:val="Caption Char"/>
    <w:uiPriority w:val="99"/>
    <w:qFormat/>
    <w:rPr/>
  </w:style>
  <w:style w:type="character" w:styleId="FootnoteTextChar" w:customStyle="1">
    <w:name w:val="Footnote Text Char"/>
    <w:uiPriority w:val="99"/>
    <w:qFormat/>
    <w:rPr>
      <w:sz w:val="18"/>
    </w:rPr>
  </w:style>
  <w:style w:type="character" w:styleId="EndnoteTextChar" w:customStyle="1">
    <w:name w:val="Endnote Text Char"/>
    <w:uiPriority w:val="99"/>
    <w:qFormat/>
    <w:rPr>
      <w:sz w:val="20"/>
    </w:rPr>
  </w:style>
  <w:style w:type="character" w:styleId="1" w:customStyle="1">
    <w:name w:val="Заголовок 1 Знак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2" w:customStyle="1">
    <w:name w:val="Заголовок 2 Знак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3" w:customStyle="1">
    <w:name w:val="Заголовок 3 Знак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4" w:customStyle="1">
    <w:name w:val="Заголовок 4 Знак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5" w:customStyle="1">
    <w:name w:val="Заголовок 5 Знак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" w:customStyle="1">
    <w:name w:val="Заголовок 6 Знак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" w:customStyle="1">
    <w:name w:val="Заголовок 7 Знак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" w:customStyle="1">
    <w:name w:val="Заголовок 8 Знак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9" w:customStyle="1">
    <w:name w:val="Заголовок 9 Знак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Style" w:customStyle="1">
    <w:name w:val="Назва Знак"/>
    <w:basedOn w:val="DefaultParagraphFont"/>
    <w:uiPriority w:val="10"/>
    <w:qFormat/>
    <w:rPr>
      <w:sz w:val="48"/>
      <w:szCs w:val="48"/>
    </w:rPr>
  </w:style>
  <w:style w:type="character" w:styleId="Style1" w:customStyle="1">
    <w:name w:val="Підзаголовок Знак"/>
    <w:basedOn w:val="DefaultParagraphFont"/>
    <w:uiPriority w:val="11"/>
    <w:qFormat/>
    <w:rPr>
      <w:sz w:val="24"/>
      <w:szCs w:val="24"/>
    </w:rPr>
  </w:style>
  <w:style w:type="character" w:styleId="Style2" w:customStyle="1">
    <w:name w:val="Цитата Знак"/>
    <w:link w:val="Quote"/>
    <w:uiPriority w:val="29"/>
    <w:qFormat/>
    <w:rPr>
      <w:i/>
    </w:rPr>
  </w:style>
  <w:style w:type="character" w:styleId="Style3" w:customStyle="1">
    <w:name w:val="Насичена цитата Знак"/>
    <w:link w:val="IntenseQuote"/>
    <w:uiPriority w:val="30"/>
    <w:qFormat/>
    <w:rPr>
      <w:i/>
    </w:rPr>
  </w:style>
  <w:style w:type="character" w:styleId="Style4" w:customStyle="1">
    <w:name w:val="Верхній колонтитул Знак"/>
    <w:basedOn w:val="DefaultParagraphFont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Style5" w:customStyle="1">
    <w:name w:val="Нижній колонтитул Знак"/>
    <w:uiPriority w:val="99"/>
    <w:qFormat/>
    <w:rPr/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styleId="Style6" w:customStyle="1">
    <w:name w:val="Текст виноски Знак"/>
    <w:uiPriority w:val="99"/>
    <w:qFormat/>
    <w:rPr>
      <w:sz w:val="18"/>
    </w:rPr>
  </w:style>
  <w:style w:type="character" w:styleId="Style7" w:customStyle="1">
    <w:name w:val="Символи виноски"/>
    <w:uiPriority w:val="99"/>
    <w:unhideWhenUsed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Style8" w:customStyle="1">
    <w:name w:val="Текст кінцевої виноски Знак"/>
    <w:uiPriority w:val="99"/>
    <w:qFormat/>
    <w:rPr>
      <w:sz w:val="20"/>
    </w:rPr>
  </w:style>
  <w:style w:type="character" w:styleId="Style9" w:customStyle="1">
    <w:name w:val="Символи кінцевої виноски"/>
    <w:uiPriority w:val="99"/>
    <w:semiHidden/>
    <w:unhideWhenUsed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Style10" w:customStyle="1">
    <w:name w:val="Заголовок"/>
    <w:basedOn w:val="Normal"/>
    <w:next w:val="BodyText"/>
    <w:qFormat/>
    <w:pPr>
      <w:keepNext w:val="true"/>
      <w:spacing w:before="240" w:after="120"/>
    </w:pPr>
    <w:rPr>
      <w:rFonts w:ascii="Carlito" w:hAnsi="Carlito" w:eastAsia="Noto Sans CJK SC" w:cs="Noto Sans Devanagari"/>
      <w:sz w:val="28"/>
      <w:szCs w:val="28"/>
    </w:rPr>
  </w:style>
  <w:style w:type="paragraph" w:styleId="BodyText">
    <w:name w:val="Body Text"/>
    <w:basedOn w:val="Normal"/>
    <w:pPr>
      <w:spacing w:before="0" w:after="140"/>
    </w:pPr>
    <w:rPr/>
  </w:style>
  <w:style w:type="paragraph" w:styleId="List">
    <w:name w:val="List"/>
    <w:basedOn w:val="BodyText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1" w:customStyle="1">
    <w:name w:val="Покажчик"/>
    <w:basedOn w:val="Normal"/>
    <w:qFormat/>
    <w:pPr>
      <w:suppressLineNumbers/>
    </w:pPr>
    <w:rPr>
      <w:rFonts w:cs="Noto Sans Devanagari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Caption11" w:customStyle="1">
    <w:name w:val="caption11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Caption111" w:customStyle="1">
    <w:name w:val="caption111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Title">
    <w:name w:val="Title"/>
    <w:basedOn w:val="Normal"/>
    <w:next w:val="Normal"/>
    <w:link w:val="Style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ubtitle">
    <w:name w:val="Subtitle"/>
    <w:basedOn w:val="Normal"/>
    <w:next w:val="Normal"/>
    <w:link w:val="Style1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next w:val="Normal"/>
    <w:link w:val="Style2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Style3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Style12" w:customStyle="1">
    <w:name w:val="Верхній і нижній колонтитули"/>
    <w:basedOn w:val="Normal"/>
    <w:qFormat/>
    <w:pPr/>
    <w:rPr/>
  </w:style>
  <w:style w:type="paragraph" w:styleId="Header">
    <w:name w:val="Header"/>
    <w:basedOn w:val="Normal"/>
    <w:link w:val="Style4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yle5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Caption1111" w:customStyle="1">
    <w:name w:val="caption1111"/>
    <w:basedOn w:val="Normal"/>
    <w:next w:val="Normal"/>
    <w:uiPriority w:val="35"/>
    <w:semiHidden/>
    <w:unhideWhenUsed/>
    <w:qFormat/>
    <w:pPr/>
    <w:rPr>
      <w:b/>
      <w:bCs/>
      <w:color w:val="4472C4" w:themeColor="accent1"/>
      <w:sz w:val="18"/>
      <w:szCs w:val="18"/>
    </w:rPr>
  </w:style>
  <w:style w:type="paragraph" w:styleId="FootnoteText">
    <w:name w:val="Footnote Text"/>
    <w:basedOn w:val="Normal"/>
    <w:link w:val="Style6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"/>
    <w:link w:val="Style8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TOC1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TOC2">
    <w:name w:val="TOC 2"/>
    <w:basedOn w:val="Normal"/>
    <w:next w:val="Normal"/>
    <w:uiPriority w:val="39"/>
    <w:unhideWhenUsed/>
    <w:pPr>
      <w:spacing w:before="0" w:after="57"/>
      <w:ind w:left="283" w:hanging="0"/>
    </w:pPr>
    <w:rPr/>
  </w:style>
  <w:style w:type="paragraph" w:styleId="TOC3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TOC4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TOC5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TOC6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TOC7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TOC8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TOC9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Indexheading1" w:customStyle="1">
    <w:name w:val="index heading1"/>
    <w:basedOn w:val="Style10"/>
    <w:qFormat/>
    <w:pPr/>
    <w:rPr/>
  </w:style>
  <w:style w:type="paragraph" w:styleId="Indexheading2" w:customStyle="1">
    <w:name w:val="index heading2"/>
    <w:basedOn w:val="Style10"/>
    <w:qFormat/>
    <w:pPr/>
    <w:rPr/>
  </w:style>
  <w:style w:type="paragraph" w:styleId="Indexheading3">
    <w:name w:val="index heading3"/>
    <w:basedOn w:val="Style10"/>
    <w:qFormat/>
    <w:pPr/>
    <w:rPr/>
  </w:style>
  <w:style w:type="paragraph" w:styleId="IndexHeading">
    <w:name w:val="Index Heading"/>
    <w:basedOn w:val="Style10"/>
    <w:pPr/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  <w14:ligatures w14:val="standardContextual"/>
    </w:rPr>
  </w:style>
  <w:style w:type="paragraph" w:styleId="Tableoffigures">
    <w:name w:val="table of figures"/>
    <w:basedOn w:val="Normal"/>
    <w:next w:val="Normal"/>
    <w:uiPriority w:val="99"/>
    <w:unhideWhenUsed/>
    <w:qFormat/>
    <w:pPr>
      <w:spacing w:before="0" w:after="0"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  <w14:ligatures w14:val="standardContextual"/>
    </w:rPr>
  </w:style>
  <w:style w:type="paragraph" w:styleId="Style13" w:customStyle="1">
    <w:name w:val="Вміст таблиці"/>
    <w:basedOn w:val="Normal"/>
    <w:qFormat/>
    <w:pPr>
      <w:widowControl w:val="false"/>
      <w:suppressLineNumbers/>
    </w:pPr>
    <w:rPr/>
  </w:style>
  <w:style w:type="paragraph" w:styleId="Style14" w:customStyle="1">
    <w:name w:val="Заголовок таблиці"/>
    <w:basedOn w:val="Style13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12">
    <w:name w:val="Plain Table 1"/>
    <w:basedOn w:val="a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b/>
        <w:sz w:val="22"/>
      </w:rPr>
      <w:tblPr/>
    </w:tblStylePr>
    <w:tblStylePr w:type="lastRow">
      <w:rPr>
        <w:b/>
        <w:sz w:val="22"/>
      </w:rPr>
      <w:tblPr/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tblPr/>
      <w:tcPr>
        <w:shd w:val="clear" w:color="F2F2F2" w:fill="F2F2F2" w:themeFill="text1" w:themeFillTint="d"/>
      </w:tcPr>
    </w:tblStylePr>
    <w:tblStylePr w:type="band1Horz">
      <w:tblPr/>
      <w:tcPr>
        <w:shd w:val="clear" w:color="F2F2F2" w:fill="F2F2F2" w:themeFill="text1" w:themeFillTint="d"/>
      </w:tcPr>
    </w:tblStylePr>
  </w:style>
  <w:style w:type="table" w:styleId="22">
    <w:name w:val="Plain Table 2"/>
    <w:basedOn w:val="a1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b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sz w:val="22"/>
      </w:rPr>
      <w:tblPr/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32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</w:rPr>
      <w:tblPr/>
    </w:tblStylePr>
    <w:tblStylePr w:type="firstCol">
      <w:rPr>
        <w:b/>
        <w:caps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</w:rPr>
      <w:tblPr/>
    </w:tblStylePr>
    <w:tblStylePr w:type="band1Vert">
      <w:rPr>
        <w:sz w:val="22"/>
      </w:rPr>
      <w:tblPr/>
      <w:tcPr>
        <w:shd w:val="clear" w:color="F2F2F2" w:fill="F2F2F2" w:themeFill="text1" w:themeFillTint="d"/>
      </w:tcPr>
    </w:tblStylePr>
    <w:tblStylePr w:type="band1Horz">
      <w:rPr>
        <w:sz w:val="22"/>
      </w:rPr>
      <w:tblPr/>
      <w:tcPr>
        <w:shd w:val="clear" w:color="F2F2F2" w:fill="F2F2F2" w:themeFill="text1" w:themeFillTint="d"/>
      </w:tcPr>
    </w:tblStylePr>
  </w:style>
  <w:style w:type="table" w:styleId="42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</w:rPr>
      <w:tblPr/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2F2F2" w:fill="F2F2F2" w:themeFill="text1" w:themeFillTint="d"/>
      </w:tcPr>
    </w:tblStylePr>
    <w:tblStylePr w:type="band1Horz">
      <w:rPr>
        <w:sz w:val="22"/>
      </w:rPr>
      <w:tblPr/>
      <w:tcPr>
        <w:shd w:val="clear" w:color="F2F2F2" w:fill="F2F2F2" w:themeFill="text1" w:themeFillTint="d"/>
      </w:tcPr>
    </w:tblStylePr>
  </w:style>
  <w:style w:type="table" w:styleId="52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2F2F2" w:fill="F2F2F2" w:themeFill="text1" w:themeFillTint="d"/>
      </w:tcPr>
    </w:tblStylePr>
    <w:tblStylePr w:type="band1Horz">
      <w:rPr>
        <w:sz w:val="22"/>
      </w:rPr>
      <w:tblPr/>
      <w:tcPr>
        <w:shd w:val="clear" w:color="F2F2F2" w:fill="F2F2F2" w:themeFill="text1" w:themeFillTint="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firstRow">
      <w:rPr>
        <w:b/>
      </w:rPr>
      <w:tblPr/>
      <w:tcPr>
        <w:tcBorders>
          <w:bottom w:val="single" w:color="4472C4" w:themeColor="accent1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b/>
      </w:rPr>
      <w:tblPr/>
      <w:tcPr>
        <w:tcBorders>
          <w:bottom w:val="single" w:color="ED7D31" w:themeColor="accent2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b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firstRow">
      <w:rPr>
        <w:b/>
      </w:rPr>
      <w:tblPr/>
      <w:tcPr>
        <w:tcBorders>
          <w:bottom w:val="single" w:color="FFC000" w:themeColor="accent4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firstRow">
      <w:rPr>
        <w:b/>
      </w:rPr>
      <w:tblPr/>
      <w:tcPr>
        <w:tcBorders>
          <w:bottom w:val="single" w:color="5B9BD5" w:themeColor="accent5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b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  <w:tblPr/>
      <w:tcPr>
        <w:shd w:val="clear" w:color="E1EFD8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  <w:tblPr/>
      <w:tcPr>
        <w:shd w:val="clear" w:color="E1EFD8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</w:tcBorders>
        <w:shd w:val="clear" w:color="537DC8" w:fill="537DC8" w:themeFill="accent1" w:themeFillTint="ea"/>
      </w:tcPr>
    </w:tblStylePr>
    <w:tblStylePr w:type="lastRow">
      <w:rPr>
        <w:b/>
      </w:rPr>
      <w:tblPr/>
      <w:tcPr>
        <w:tcBorders>
          <w:top w:val="single" w:color="4472C4" w:themeColor="accent1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DAE3F3" w:fill="DAE3F3" w:themeFill="accent1" w:themeFillTint="32"/>
      </w:tcPr>
    </w:tblStylePr>
    <w:tblStylePr w:type="band1Horz">
      <w:rPr>
        <w:sz w:val="22"/>
      </w:rPr>
      <w:tblPr/>
      <w:tcPr>
        <w:shd w:val="clear" w:color="DAE3F3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  <w:shd w:val="clear" w:color="F4B184" w:fill="F4B184" w:themeFill="accent2" w:themeFillTint="97"/>
      </w:tcPr>
    </w:tblStylePr>
    <w:tblStylePr w:type="lastRow">
      <w:rPr>
        <w:b/>
      </w:rPr>
      <w:tblPr/>
      <w:tcPr>
        <w:tcBorders>
          <w:top w:val="single" w:color="ED7D31" w:themeColor="accent2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  <w:shd w:val="clear" w:color="A5A5A5" w:fill="A5A5A5" w:themeFill="accent3" w:themeFillTint="fe"/>
      </w:tcPr>
    </w:tblStylePr>
    <w:tblStylePr w:type="lastRow">
      <w:rPr>
        <w:b/>
      </w:rPr>
      <w:tblPr/>
      <w:tcPr>
        <w:tcBorders>
          <w:top w:val="single" w:color="A5A5A5" w:themeColor="accent3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  <w:shd w:val="clear" w:color="FFD865" w:fill="FFD865" w:themeFill="accent4" w:themeFillTint="9a"/>
      </w:tcPr>
    </w:tblStylePr>
    <w:tblStylePr w:type="lastRow">
      <w:rPr>
        <w:b/>
      </w:rPr>
      <w:tblPr/>
      <w:tcPr>
        <w:tcBorders>
          <w:top w:val="single" w:color="FFC000" w:themeColor="accent4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  <w:shd w:val="clear" w:color="5B9BD5" w:fill="5B9BD5" w:themeFill="accent5"/>
      </w:tcPr>
    </w:tblStylePr>
    <w:tblStylePr w:type="lastRow">
      <w:rPr>
        <w:b/>
      </w:rPr>
      <w:tblPr/>
      <w:tcPr>
        <w:tcBorders>
          <w:top w:val="single" w:color="5B9BD5" w:themeColor="accent5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fill="70AD47" w:themeFill="accent6"/>
      </w:tcPr>
    </w:tblStylePr>
    <w:tblStylePr w:type="lastRow">
      <w:rPr>
        <w:b/>
      </w:rPr>
      <w:tblPr/>
      <w:tcPr>
        <w:tcBorders>
          <w:top w:val="single" w:color="70AD47" w:themeColor="accent6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  <w:tblPr/>
      <w:tcPr>
        <w:shd w:val="clear" w:color="E1EFD8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sz w:val="22"/>
      </w:rPr>
      <w:tblPr/>
      <w:tcPr>
        <w:shd w:val="clear" w:color="000000" w:fill="000000" w:themeFill="text1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000000" w:fill="000000" w:themeFill="text1"/>
      </w:tcPr>
    </w:tblStylePr>
    <w:tblStylePr w:type="firstCol">
      <w:rPr>
        <w:b/>
        <w:sz w:val="22"/>
      </w:rPr>
      <w:tblPr/>
      <w:tcPr>
        <w:shd w:val="clear" w:color="000000" w:fill="000000" w:themeFill="text1"/>
      </w:tcPr>
    </w:tblStylePr>
    <w:tblStylePr w:type="lastCol">
      <w:rPr>
        <w:b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sz w:val="22"/>
      </w:rPr>
      <w:tblPr/>
      <w:tcPr>
        <w:shd w:val="clear" w:color="4472C4" w:fill="4472C4" w:themeFill="accent1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4472C4" w:fill="4472C4" w:themeFill="accent1"/>
      </w:tcPr>
    </w:tblStylePr>
    <w:tblStylePr w:type="firstCol">
      <w:rPr>
        <w:b/>
        <w:sz w:val="22"/>
      </w:rPr>
      <w:tblPr/>
      <w:tcPr>
        <w:shd w:val="clear" w:color="4472C4" w:fill="4472C4" w:themeFill="accent1"/>
      </w:tcPr>
    </w:tblStylePr>
    <w:tblStylePr w:type="lastCol">
      <w:rPr>
        <w:b/>
        <w:sz w:val="22"/>
      </w:rPr>
      <w:tblPr/>
      <w:tcPr>
        <w:shd w:val="clear" w:color="4472C4" w:fill="4472C4" w:themeFill="accent1"/>
      </w:tcPr>
    </w:tblStylePr>
    <w:tblStylePr w:type="band1Vert">
      <w:tblPr/>
      <w:tcPr>
        <w:shd w:val="clear" w:color="A9BEE4" w:fill="A9BEE4" w:themeFill="accent1" w:themeFillTint="75"/>
      </w:tcPr>
    </w:tblStylePr>
    <w:tblStylePr w:type="band1Horz">
      <w:tblPr/>
      <w:tcPr>
        <w:shd w:val="clear" w:color="A9BEE4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sz w:val="22"/>
      </w:rPr>
      <w:tblPr/>
      <w:tcPr>
        <w:shd w:val="clear" w:color="ED7D31" w:fill="ED7D31" w:themeFill="accent2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ED7D31" w:fill="ED7D31" w:themeFill="accent2"/>
      </w:tcPr>
    </w:tblStylePr>
    <w:tblStylePr w:type="firstCol">
      <w:rPr>
        <w:b/>
        <w:sz w:val="22"/>
      </w:rPr>
      <w:tblPr/>
      <w:tcPr>
        <w:shd w:val="clear" w:color="ED7D31" w:fill="ED7D31" w:themeFill="accent2"/>
      </w:tcPr>
    </w:tblStylePr>
    <w:tblStylePr w:type="lastCol">
      <w:rPr>
        <w:b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sz w:val="22"/>
      </w:rPr>
      <w:tblPr/>
      <w:tcPr>
        <w:shd w:val="clear" w:color="A5A5A5" w:fill="A5A5A5" w:themeFill="accent3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A5A5A5" w:fill="A5A5A5" w:themeFill="accent3"/>
      </w:tcPr>
    </w:tblStylePr>
    <w:tblStylePr w:type="firstCol">
      <w:rPr>
        <w:b/>
        <w:sz w:val="22"/>
      </w:rPr>
      <w:tblPr/>
      <w:tcPr>
        <w:shd w:val="clear" w:color="A5A5A5" w:fill="A5A5A5" w:themeFill="accent3"/>
      </w:tcPr>
    </w:tblStylePr>
    <w:tblStylePr w:type="lastCol">
      <w:rPr>
        <w:b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sz w:val="22"/>
      </w:rPr>
      <w:tblPr/>
      <w:tcPr>
        <w:shd w:val="clear" w:color="FFC000" w:fill="FFC000" w:themeFill="accent4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FFC000" w:fill="FFC000" w:themeFill="accent4"/>
      </w:tcPr>
    </w:tblStylePr>
    <w:tblStylePr w:type="firstCol">
      <w:rPr>
        <w:b/>
        <w:sz w:val="22"/>
      </w:rPr>
      <w:tblPr/>
      <w:tcPr>
        <w:shd w:val="clear" w:color="FFC000" w:fill="FFC000" w:themeFill="accent4"/>
      </w:tcPr>
    </w:tblStylePr>
    <w:tblStylePr w:type="lastCol">
      <w:rPr>
        <w:b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sz w:val="22"/>
      </w:rPr>
      <w:tblPr/>
      <w:tcPr>
        <w:shd w:val="clear" w:color="5B9BD5" w:fill="5B9BD5" w:themeFill="accent5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5B9BD5" w:fill="5B9BD5" w:themeFill="accent5"/>
      </w:tcPr>
    </w:tblStylePr>
    <w:tblStylePr w:type="firstCol">
      <w:rPr>
        <w:b/>
        <w:sz w:val="22"/>
      </w:rPr>
      <w:tblPr/>
      <w:tcPr>
        <w:shd w:val="clear" w:color="5B9BD5" w:fill="5B9BD5" w:themeFill="accent5"/>
      </w:tcPr>
    </w:tblStylePr>
    <w:tblStylePr w:type="lastCol">
      <w:rPr>
        <w:b/>
        <w:sz w:val="22"/>
      </w:rPr>
      <w:tblPr/>
      <w:tcPr>
        <w:shd w:val="clear" w:color="5B9BD5" w:fill="5B9BD5" w:themeFill="accent5"/>
      </w:tcPr>
    </w:tblStylePr>
    <w:tblStylePr w:type="band1Vert">
      <w:tblPr/>
      <w:tcPr>
        <w:shd w:val="clear" w:color="B3D0EB" w:fill="B3D0EB" w:themeFill="accent5" w:themeFillTint="75"/>
      </w:tcPr>
    </w:tblStylePr>
    <w:tblStylePr w:type="band1Horz">
      <w:tblPr/>
      <w:tcPr>
        <w:shd w:val="clear" w:color="B3D0EB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sz w:val="22"/>
      </w:rPr>
      <w:tblPr/>
      <w:tcPr>
        <w:shd w:val="clear" w:color="70AD47" w:fill="70AD47" w:themeFill="accent6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70AD47" w:fill="70AD47" w:themeFill="accent6"/>
      </w:tcPr>
    </w:tblStylePr>
    <w:tblStylePr w:type="firstCol">
      <w:rPr>
        <w:b/>
        <w:sz w:val="22"/>
      </w:rPr>
      <w:tblPr/>
      <w:tcPr>
        <w:shd w:val="clear" w:color="70AD47" w:fill="70AD47" w:themeFill="accent6"/>
      </w:tcPr>
    </w:tblStylePr>
    <w:tblStylePr w:type="lastCol">
      <w:rPr>
        <w:b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themeColor="text1" w:themeTint="80" w:themeShade="95"/>
      </w:rPr>
      <w:tblPr/>
    </w:tblStylePr>
    <w:tblStylePr w:type="firstCol">
      <w:rPr>
        <w:b/>
        <w:color w:themeColor="text1" w:themeTint="80" w:themeShade="95"/>
      </w:rPr>
      <w:tblPr/>
    </w:tblStylePr>
    <w:tblStylePr w:type="lastCol">
      <w:rPr>
        <w:b/>
        <w:color w:themeColor="text1" w:themeTint="80" w:themeShade="95"/>
      </w:rPr>
      <w:tblPr/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firstRow">
      <w:rPr>
        <w:b/>
        <w:color w:themeColor="accent1" w:themeTint="80" w:themeShade="95"/>
      </w:rPr>
      <w:tblPr/>
      <w:tcPr>
        <w:tcBorders>
          <w:bottom w:val="single" w:color="4472C4" w:themeColor="accent1" w:sz="12" w:space="0"/>
        </w:tcBorders>
      </w:tcPr>
    </w:tblStylePr>
    <w:tblStylePr w:type="lastRow">
      <w:rPr>
        <w:b/>
        <w:color w:themeColor="accent1" w:themeTint="80" w:themeShade="95"/>
      </w:rPr>
      <w:tblPr/>
    </w:tblStylePr>
    <w:tblStylePr w:type="firstCol">
      <w:rPr>
        <w:b/>
        <w:color w:themeColor="accent1" w:themeTint="80" w:themeShade="95"/>
      </w:rPr>
      <w:tblPr/>
    </w:tblStylePr>
    <w:tblStylePr w:type="lastCol">
      <w:rPr>
        <w:b/>
        <w:color w:themeColor="accent1" w:themeTint="80" w:themeShade="95"/>
      </w:rPr>
      <w:tblPr/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color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color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themeColor="accent2" w:themeTint="97" w:themeShade="95"/>
      </w:rPr>
      <w:tblPr/>
      <w:tcPr>
        <w:tcBorders>
          <w:bottom w:val="single" w:color="ED7D31" w:themeColor="accent2" w:sz="12" w:space="0"/>
        </w:tcBorders>
      </w:tcPr>
    </w:tblStylePr>
    <w:tblStylePr w:type="lastRow">
      <w:rPr>
        <w:b/>
        <w:color w:themeColor="accent2" w:themeTint="97" w:themeShade="95"/>
      </w:rPr>
      <w:tblPr/>
    </w:tblStylePr>
    <w:tblStylePr w:type="firstCol">
      <w:rPr>
        <w:b/>
        <w:color w:themeColor="accent2" w:themeTint="97" w:themeShade="95"/>
      </w:rPr>
      <w:tblPr/>
    </w:tblStylePr>
    <w:tblStylePr w:type="lastCol">
      <w:rPr>
        <w:b/>
        <w:color w:themeColor="accent2" w:themeTint="97" w:themeShade="95"/>
      </w:rPr>
      <w:tblPr/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themeColor="accent3" w:themeTint="fe" w:themeShade="95"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b/>
        <w:color w:themeColor="accent3" w:themeTint="fe" w:themeShade="95"/>
      </w:rPr>
      <w:tblPr/>
    </w:tblStylePr>
    <w:tblStylePr w:type="firstCol">
      <w:rPr>
        <w:b/>
        <w:color w:themeColor="accent3" w:themeTint="fe" w:themeShade="95"/>
      </w:rPr>
      <w:tblPr/>
    </w:tblStylePr>
    <w:tblStylePr w:type="lastCol">
      <w:rPr>
        <w:b/>
        <w:color w:themeColor="accent3" w:themeTint="fe" w:themeShade="95"/>
      </w:rPr>
      <w:tblPr/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themeColor="accent4" w:themeTint="9a" w:themeShade="95"/>
      </w:rPr>
      <w:tblPr/>
      <w:tcPr>
        <w:tcBorders>
          <w:bottom w:val="single" w:color="FFC000" w:themeColor="accent4" w:sz="12" w:space="0"/>
        </w:tcBorders>
      </w:tcPr>
    </w:tblStylePr>
    <w:tblStylePr w:type="lastRow">
      <w:rPr>
        <w:b/>
        <w:color w:themeColor="accent4" w:themeTint="9a" w:themeShade="95"/>
      </w:rPr>
      <w:tblPr/>
    </w:tblStylePr>
    <w:tblStylePr w:type="firstCol">
      <w:rPr>
        <w:b/>
        <w:color w:themeColor="accent4" w:themeTint="9a" w:themeShade="95"/>
      </w:rPr>
      <w:tblPr/>
    </w:tblStylePr>
    <w:tblStylePr w:type="lastCol">
      <w:rPr>
        <w:b/>
        <w:color w:themeColor="accent4" w:themeTint="9a" w:themeShade="95"/>
      </w:rPr>
      <w:tblPr/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firstRow">
      <w:rPr>
        <w:b/>
        <w:color w:themeColor="accent5" w:themeShade="95"/>
      </w:rPr>
      <w:tblPr/>
      <w:tcPr>
        <w:tcBorders>
          <w:bottom w:val="single" w:color="5B9BD5" w:themeColor="accent5" w:sz="12" w:space="0"/>
        </w:tcBorders>
      </w:tcPr>
    </w:tblStylePr>
    <w:tblStylePr w:type="lastRow">
      <w:rPr>
        <w:b/>
        <w:color w:themeColor="accent5" w:themeShade="95"/>
      </w:rPr>
      <w:tblPr/>
    </w:tblStylePr>
    <w:tblStylePr w:type="firstCol">
      <w:rPr>
        <w:b/>
        <w:color w:themeColor="accent5" w:themeShade="95"/>
      </w:rPr>
      <w:tblPr/>
    </w:tblStylePr>
    <w:tblStylePr w:type="lastCol">
      <w:rPr>
        <w:b/>
        <w:color w:themeColor="accent5" w:themeShade="95"/>
      </w:rPr>
      <w:tblPr/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color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color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themeColor="accent5" w:themeShade="95"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themeColor="accent5" w:themeShade="95"/>
      </w:rPr>
      <w:tblPr/>
    </w:tblStylePr>
    <w:tblStylePr w:type="firstCol">
      <w:rPr>
        <w:b/>
        <w:color w:themeColor="accent5" w:themeShade="95"/>
      </w:rPr>
      <w:tblPr/>
    </w:tblStylePr>
    <w:tblStylePr w:type="lastCol">
      <w:rPr>
        <w:b/>
        <w:color w:themeColor="accent5" w:themeShade="95"/>
      </w:rPr>
      <w:tblPr/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themeColor="accent5" w:themeShade="95"/>
        <w:sz w:val="22"/>
      </w:rPr>
      <w:tblPr/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FFFFFF" w:fill="auto"/>
      </w:tcPr>
    </w:tblStylePr>
    <w:tblStylePr w:type="lastCol"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d"/>
      </w:tcPr>
    </w:tblStylePr>
    <w:tblStylePr w:type="band1Horz">
      <w:rPr>
        <w:color w:themeColor="text1" w:themeTint="80" w:themeShade="95"/>
        <w:sz w:val="22"/>
      </w:rPr>
      <w:tblPr/>
      <w:tcPr>
        <w:shd w:val="clear" w:color="F2F2F2" w:fill="F2F2F2" w:themeFill="text1" w:themeFillTint="d"/>
      </w:tcPr>
    </w:tblStylePr>
    <w:tblStylePr w:type="band2Horz">
      <w:rPr>
        <w:color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firstRow">
      <w:rPr>
        <w:b/>
        <w:color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themeColor="accent1" w:themeTint="80" w:themeShade="95"/>
        <w:sz w:val="22"/>
      </w:rPr>
      <w:tblPr/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  <w:shd w:val="clear" w:color="FFFFFF" w:fill="auto"/>
      </w:tcPr>
    </w:tblStylePr>
    <w:tblStylePr w:type="lastCol">
      <w:rPr>
        <w:i/>
        <w:color w:themeColor="accent1" w:themeTint="80" w:themeShade="95"/>
        <w:sz w:val="22"/>
      </w:rPr>
      <w:tblPr/>
      <w:tcPr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color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color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themeColor="accent2" w:themeTint="97" w:themeShade="95"/>
        <w:sz w:val="22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ED7D31" w:themeColor="accent2" w:sz="4" w:space="0"/>
        </w:tcBorders>
        <w:shd w:val="clear" w:color="FFFFFF" w:fill="auto"/>
      </w:tcPr>
    </w:tblStylePr>
    <w:tblStylePr w:type="lastCol"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single" w:color="ED7D31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themeColor="accent3" w:themeTint="fe" w:themeShade="95"/>
        <w:sz w:val="22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sz="4" w:space="0"/>
        </w:tcBorders>
        <w:shd w:val="clear" w:color="FFFFFF" w:fill="auto"/>
      </w:tcPr>
    </w:tblStylePr>
    <w:tblStylePr w:type="lastCol">
      <w:rPr>
        <w:i/>
        <w:color w:themeColor="accent3" w:themeTint="fe" w:themeShade="95"/>
        <w:sz w:val="22"/>
      </w:rPr>
      <w:tblPr/>
      <w:tcPr>
        <w:tcBorders>
          <w:top w:val="none" w:color="000000" w:sz="4" w:space="0"/>
          <w:left w:val="single" w:color="A5A5A5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themeColor="accent4" w:themeTint="9a" w:themeShade="95"/>
        <w:sz w:val="22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C000" w:themeColor="accent4" w:sz="4" w:space="0"/>
        </w:tcBorders>
        <w:shd w:val="clear" w:color="FFFFFF" w:fill="auto"/>
      </w:tcPr>
    </w:tblStylePr>
    <w:tblStylePr w:type="lastCol"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single" w:color="FFC000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firstRow">
      <w:rPr>
        <w:b/>
        <w:color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themeColor="accent5" w:themeShade="95"/>
        <w:sz w:val="22"/>
      </w:rPr>
      <w:tblPr/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5" w:sz="4" w:space="0"/>
        </w:tcBorders>
        <w:shd w:val="clear" w:color="FFFFFF" w:fill="auto"/>
      </w:tcPr>
    </w:tblStylePr>
    <w:tblStylePr w:type="lastCol">
      <w:rPr>
        <w:i/>
        <w:color w:themeColor="accent5" w:themeShade="95"/>
        <w:sz w:val="22"/>
      </w:rPr>
      <w:tblPr/>
      <w:tcPr>
        <w:tcBorders>
          <w:top w:val="none" w:color="000000" w:sz="4" w:space="0"/>
          <w:left w:val="single" w:color="5B9BD5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color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color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b/>
        <w:color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themeColor="accent6" w:themeShade="95"/>
        <w:sz w:val="22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0AD47" w:themeColor="accent6" w:sz="4" w:space="0"/>
        </w:tcBorders>
        <w:shd w:val="clear" w:color="FFFFFF" w:fill="auto"/>
      </w:tcPr>
    </w:tblStylePr>
    <w:tblStylePr w:type="lastCol">
      <w:rPr>
        <w:i/>
        <w:color w:themeColor="accent6" w:themeShade="95"/>
        <w:sz w:val="22"/>
      </w:rPr>
      <w:tblPr/>
      <w:tcPr>
        <w:tcBorders>
          <w:top w:val="none" w:color="000000" w:sz="4" w:space="0"/>
          <w:left w:val="single" w:color="70AD47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themeColor="accent6" w:themeShade="95"/>
        <w:sz w:val="22"/>
      </w:rPr>
      <w:tblPr/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tblPr/>
      <w:tcPr>
        <w:shd w:val="clear" w:color="CFDBF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tblPr/>
      <w:tcPr>
        <w:shd w:val="clear" w:color="D5E5F4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4472C4" w:themeColor="accent1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4472C4" w:themeColor="accent1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ED7D31" w:themeColor="accent2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ED7D31" w:themeColor="accent2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A5A5A5" w:themeColor="accent3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A5A5A5" w:themeColor="accent3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FFC000" w:themeColor="accent4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FFC000" w:themeColor="accent4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5B9BD5" w:themeColor="accent5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5B9BD5" w:themeColor="accent5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70AD47" w:themeColor="accent6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70AD47" w:themeColor="accent6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sz w:val="22"/>
      </w:rPr>
      <w:tblPr/>
      <w:tcPr>
        <w:shd w:val="clear" w:color="DAEBCF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sz w:val="22"/>
      </w:rPr>
      <w:tblPr/>
      <w:tcPr>
        <w:shd w:val="clear" w:color="000000" w:fill="000000" w:themeFill="text1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firstRow">
      <w:rPr>
        <w:b/>
        <w:sz w:val="22"/>
      </w:rPr>
      <w:tblPr/>
      <w:tcPr>
        <w:shd w:val="clear" w:color="4472C4" w:fill="4472C4" w:themeFill="accent1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band1Horz">
      <w:rPr>
        <w:sz w:val="22"/>
      </w:rPr>
      <w:tblPr/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firstRow">
      <w:rPr>
        <w:b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ED7D31" w:themeColor="accent2" w:sz="4" w:space="0"/>
          <w:right w:val="single" w:color="ED7D31" w:themeColor="accent2" w:sz="4" w:space="0"/>
        </w:tcBorders>
      </w:tcPr>
    </w:tblStylePr>
    <w:tblStylePr w:type="band1Horz">
      <w:rPr>
        <w:sz w:val="22"/>
      </w:rPr>
      <w:tblPr/>
      <w:tcPr>
        <w:tcBorders>
          <w:top w:val="single" w:color="ED7D31" w:themeColor="accent2" w:sz="4" w:space="0"/>
          <w:bottom w:val="single" w:color="ED7D31" w:themeColor="accent2" w:sz="4" w:space="0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firstRow">
      <w:rPr>
        <w:b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A5A5A5" w:themeColor="accent3" w:sz="4" w:space="0"/>
          <w:right w:val="single" w:color="A5A5A5" w:themeColor="accent3" w:sz="4" w:space="0"/>
        </w:tcBorders>
      </w:tcPr>
    </w:tblStylePr>
    <w:tblStylePr w:type="band1Horz">
      <w:rPr>
        <w:sz w:val="22"/>
      </w:rPr>
      <w:tblPr/>
      <w:tcPr>
        <w:tcBorders>
          <w:top w:val="single" w:color="A5A5A5" w:themeColor="accent3" w:sz="4" w:space="0"/>
          <w:bottom w:val="single" w:color="A5A5A5" w:themeColor="accent3" w:sz="4" w:space="0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firstRow">
      <w:rPr>
        <w:b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FFC000" w:themeColor="accent4" w:sz="4" w:space="0"/>
          <w:right w:val="single" w:color="FFC000" w:themeColor="accent4" w:sz="4" w:space="0"/>
        </w:tcBorders>
      </w:tcPr>
    </w:tblStylePr>
    <w:tblStylePr w:type="band1Horz">
      <w:rPr>
        <w:sz w:val="22"/>
      </w:rPr>
      <w:tblPr/>
      <w:tcPr>
        <w:tcBorders>
          <w:top w:val="single" w:color="FFC000" w:themeColor="accent4" w:sz="4" w:space="0"/>
          <w:bottom w:val="single" w:color="FFC000" w:themeColor="accent4" w:sz="4" w:space="0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firstRow">
      <w:rPr>
        <w:b/>
        <w:sz w:val="22"/>
      </w:rPr>
      <w:tblPr/>
      <w:tcPr>
        <w:shd w:val="clear" w:color="9BC2E5" w:fill="9BC2E5" w:themeFill="accent5" w:themeFillTint="9a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5B9BD5" w:themeColor="accent5" w:sz="4" w:space="0"/>
          <w:right w:val="single" w:color="5B9BD5" w:themeColor="accent5" w:sz="4" w:space="0"/>
        </w:tcBorders>
      </w:tcPr>
    </w:tblStylePr>
    <w:tblStylePr w:type="band1Horz">
      <w:rPr>
        <w:sz w:val="22"/>
      </w:rPr>
      <w:tblPr/>
      <w:tcPr>
        <w:tcBorders>
          <w:top w:val="single" w:color="5B9BD5" w:themeColor="accent5" w:sz="4" w:space="0"/>
          <w:bottom w:val="single" w:color="5B9BD5" w:themeColor="accent5" w:sz="4" w:space="0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firstRow">
      <w:rPr>
        <w:b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70AD47" w:themeColor="accent6" w:sz="4" w:space="0"/>
          <w:right w:val="single" w:color="70AD47" w:themeColor="accent6" w:sz="4" w:space="0"/>
        </w:tcBorders>
      </w:tcPr>
    </w:tblStylePr>
    <w:tblStylePr w:type="band1Horz">
      <w:rPr>
        <w:sz w:val="22"/>
      </w:rPr>
      <w:tblPr/>
      <w:tcPr>
        <w:tcBorders>
          <w:top w:val="single" w:color="70AD47" w:themeColor="accent6" w:sz="4" w:space="0"/>
          <w:bottom w:val="single" w:color="70AD47" w:themeColor="accent6" w:sz="4" w:space="0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b/>
        <w:sz w:val="22"/>
      </w:rPr>
      <w:tblPr/>
      <w:tcPr>
        <w:shd w:val="clear" w:color="000000" w:fill="000000" w:themeFill="text1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firstRow">
      <w:rPr>
        <w:b/>
        <w:sz w:val="22"/>
      </w:rPr>
      <w:tblPr/>
      <w:tcPr>
        <w:shd w:val="clear" w:color="4472C4" w:fill="4472C4" w:themeFill="accent1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b/>
        <w:sz w:val="22"/>
      </w:rPr>
      <w:tblPr/>
      <w:tcPr>
        <w:shd w:val="clear" w:color="ED7D31" w:fill="ED7D31" w:themeFill="accent2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b/>
        <w:sz w:val="22"/>
      </w:rPr>
      <w:tblPr/>
      <w:tcPr>
        <w:shd w:val="clear" w:color="A5A5A5" w:fill="A5A5A5" w:themeFill="accent3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firstRow">
      <w:rPr>
        <w:b/>
        <w:sz w:val="22"/>
      </w:rPr>
      <w:tblPr/>
      <w:tcPr>
        <w:shd w:val="clear" w:color="FFC000" w:fill="FFC000" w:themeFill="accent4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firstRow">
      <w:rPr>
        <w:b/>
        <w:sz w:val="22"/>
      </w:rPr>
      <w:tblPr/>
      <w:tcPr>
        <w:shd w:val="clear" w:color="5B9BD5" w:fill="5B9BD5" w:themeFill="accent5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b/>
        <w:sz w:val="22"/>
      </w:rPr>
      <w:tblPr/>
      <w:tcPr>
        <w:shd w:val="clear" w:color="70AD47" w:fill="70AD47" w:themeFill="accent6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sz w:val="22"/>
      </w:rPr>
      <w:tblPr/>
      <w:tcPr>
        <w:shd w:val="clear" w:color="DAEBCF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firstRow">
      <w:rPr>
        <w:b/>
        <w:color w:themeColor="light1"/>
        <w:sz w:val="22"/>
      </w:rPr>
      <w:tblPr/>
      <w:tcPr>
        <w:tcBorders>
          <w:top w:val="single" w:color="000000" w:themeColor="text1" w:sz="32" w:space="0"/>
          <w:bottom w:val="single" w:color="FFFFFF" w:themeColor="light1" w:sz="12" w:space="0"/>
        </w:tcBorders>
        <w:shd w:val="clear" w:color="7F7F7F" w:fill="7F7F7F" w:themeFill="text1" w:themeFillTint="80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</w:tblPr>
    <w:tblStylePr w:type="firstRow">
      <w:rPr>
        <w:b/>
        <w:color w:themeColor="light1"/>
        <w:sz w:val="22"/>
      </w:rPr>
      <w:tblPr/>
      <w:tcPr>
        <w:tcBorders>
          <w:top w:val="single" w:color="4472C4" w:themeColor="accent1" w:sz="32" w:space="0"/>
          <w:bottom w:val="single" w:color="FFFFFF" w:themeColor="light1" w:sz="12" w:space="0"/>
        </w:tcBorders>
        <w:shd w:val="clear" w:color="4472C4" w:fill="4472C4" w:themeFill="accent1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472C4" w:fill="4472C4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472C4" w:fill="4472C4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472C4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</w:tblPr>
    <w:tblStylePr w:type="firstRow">
      <w:rPr>
        <w:b/>
        <w:color w:themeColor="light1"/>
        <w:sz w:val="22"/>
      </w:rPr>
      <w:tblPr/>
      <w:tcPr>
        <w:tcBorders>
          <w:top w:val="single" w:color="ED7D31" w:themeColor="accent2" w:sz="32" w:space="0"/>
          <w:bottom w:val="single" w:color="FFFFFF" w:themeColor="light1" w:sz="12" w:space="0"/>
        </w:tcBorders>
        <w:shd w:val="clear" w:color="F4B184" w:fill="F4B184" w:themeFill="accent2" w:themeFillTint="97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ED7D31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ED7D31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</w:tblPr>
    <w:tblStylePr w:type="firstRow">
      <w:rPr>
        <w:b/>
        <w:color w:themeColor="light1"/>
        <w:sz w:val="22"/>
      </w:rPr>
      <w:tblPr/>
      <w:tcPr>
        <w:tcBorders>
          <w:top w:val="single" w:color="A5A5A5" w:themeColor="accent3" w:sz="32" w:space="0"/>
          <w:bottom w:val="single" w:color="FFFFFF" w:themeColor="light1" w:sz="12" w:space="0"/>
        </w:tcBorders>
        <w:shd w:val="clear" w:color="C9C9C9" w:fill="C9C9C9" w:themeFill="accent3" w:themeFillTint="98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A5A5A5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A5A5A5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</w:tblPr>
    <w:tblStylePr w:type="firstRow">
      <w:rPr>
        <w:b/>
        <w:color w:themeColor="light1"/>
        <w:sz w:val="22"/>
      </w:rPr>
      <w:tblPr/>
      <w:tcPr>
        <w:tcBorders>
          <w:top w:val="single" w:color="FFC000" w:themeColor="accent4" w:sz="32" w:space="0"/>
          <w:bottom w:val="single" w:color="FFFFFF" w:themeColor="light1" w:sz="12" w:space="0"/>
        </w:tcBorders>
        <w:shd w:val="clear" w:color="FFD865" w:fill="FFD865" w:themeFill="accent4" w:themeFillTint="9a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FFC000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FC000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</w:tblPr>
    <w:tblStylePr w:type="firstRow">
      <w:rPr>
        <w:b/>
        <w:color w:themeColor="light1"/>
        <w:sz w:val="22"/>
      </w:rPr>
      <w:tblPr/>
      <w:tcPr>
        <w:tcBorders>
          <w:top w:val="single" w:color="5B9BD5" w:themeColor="accent5" w:sz="32" w:space="0"/>
          <w:bottom w:val="single" w:color="FFFFFF" w:themeColor="light1" w:sz="12" w:space="0"/>
        </w:tcBorders>
        <w:shd w:val="clear" w:color="9BC2E5" w:fill="9BC2E5" w:themeFill="accent5" w:themeFillTint="9a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5B9BD5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5B9BD5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BC2E5" w:fill="9BC2E5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BC2E5" w:fill="9BC2E5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BC2E5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</w:tblPr>
    <w:tblStylePr w:type="firstRow">
      <w:rPr>
        <w:b/>
        <w:color w:themeColor="light1"/>
        <w:sz w:val="22"/>
      </w:rPr>
      <w:tblPr/>
      <w:tcPr>
        <w:tcBorders>
          <w:top w:val="single" w:color="70AD47" w:themeColor="accent6" w:sz="32" w:space="0"/>
          <w:bottom w:val="single" w:color="FFFFFF" w:themeColor="light1" w:sz="12" w:space="0"/>
        </w:tcBorders>
        <w:shd w:val="clear" w:color="A9D08E" w:fill="A9D08E" w:themeFill="accent6" w:themeFillTint="98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70AD47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0AD47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themeColor="text1"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color w:themeColor="text1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themeColor="text1"/>
      </w:rPr>
      <w:tblPr/>
    </w:tblStylePr>
    <w:tblStylePr w:type="lastCol">
      <w:rPr>
        <w:b/>
        <w:color w:themeColor="text1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themeColor="text1"/>
        <w:sz w:val="22"/>
      </w:rPr>
      <w:tblPr/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firstRow">
      <w:rPr>
        <w:b/>
        <w:color w:themeColor="accent1" w:themeShade="95"/>
      </w:rPr>
      <w:tblPr/>
      <w:tcPr>
        <w:tcBorders>
          <w:bottom w:val="single" w:color="4472C4" w:themeColor="accent1" w:sz="4" w:space="0"/>
        </w:tcBorders>
      </w:tcPr>
    </w:tblStylePr>
    <w:tblStylePr w:type="lastRow">
      <w:rPr>
        <w:b/>
        <w:color w:themeColor="accent1" w:themeShade="95"/>
      </w:rPr>
      <w:tblPr/>
      <w:tcPr>
        <w:tcBorders>
          <w:top w:val="single" w:color="4472C4" w:themeColor="accent1" w:sz="4" w:space="0"/>
        </w:tcBorders>
      </w:tcPr>
    </w:tblStylePr>
    <w:tblStylePr w:type="firstCol">
      <w:rPr>
        <w:b/>
        <w:color w:themeColor="accent1" w:themeShade="95"/>
      </w:rPr>
      <w:tblPr/>
    </w:tblStylePr>
    <w:tblStylePr w:type="lastCol">
      <w:rPr>
        <w:b/>
        <w:color w:themeColor="accent1" w:themeShade="95"/>
      </w:rPr>
      <w:tblPr/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color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color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firstRow">
      <w:rPr>
        <w:b/>
        <w:color w:themeColor="accent2" w:themeTint="97" w:themeShade="95"/>
      </w:rPr>
      <w:tblPr/>
      <w:tcPr>
        <w:tcBorders>
          <w:bottom w:val="single" w:color="ED7D31" w:themeColor="accent2" w:sz="4" w:space="0"/>
        </w:tcBorders>
      </w:tcPr>
    </w:tblStylePr>
    <w:tblStylePr w:type="lastRow">
      <w:rPr>
        <w:b/>
        <w:color w:themeColor="accent2" w:themeTint="97" w:themeShade="95"/>
      </w:rPr>
      <w:tblPr/>
      <w:tcPr>
        <w:tcBorders>
          <w:top w:val="single" w:color="ED7D31" w:themeColor="accent2" w:sz="4" w:space="0"/>
        </w:tcBorders>
      </w:tcPr>
    </w:tblStylePr>
    <w:tblStylePr w:type="firstCol">
      <w:rPr>
        <w:b/>
        <w:color w:themeColor="accent2" w:themeTint="97" w:themeShade="95"/>
      </w:rPr>
      <w:tblPr/>
    </w:tblStylePr>
    <w:tblStylePr w:type="lastCol">
      <w:rPr>
        <w:b/>
        <w:color w:themeColor="accent2" w:themeTint="97" w:themeShade="95"/>
      </w:rPr>
      <w:tblPr/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firstRow">
      <w:rPr>
        <w:b/>
        <w:color w:themeColor="accent3" w:themeTint="98" w:themeShade="95"/>
      </w:rPr>
      <w:tblPr/>
      <w:tcPr>
        <w:tcBorders>
          <w:bottom w:val="single" w:color="A5A5A5" w:themeColor="accent3" w:sz="4" w:space="0"/>
        </w:tcBorders>
      </w:tcPr>
    </w:tblStylePr>
    <w:tblStylePr w:type="lastRow">
      <w:rPr>
        <w:b/>
        <w:color w:themeColor="accent3" w:themeTint="98" w:themeShade="95"/>
      </w:rPr>
      <w:tblPr/>
      <w:tcPr>
        <w:tcBorders>
          <w:top w:val="single" w:color="A5A5A5" w:themeColor="accent3" w:sz="4" w:space="0"/>
        </w:tcBorders>
      </w:tcPr>
    </w:tblStylePr>
    <w:tblStylePr w:type="firstCol">
      <w:rPr>
        <w:b/>
        <w:color w:themeColor="accent3" w:themeTint="98" w:themeShade="95"/>
      </w:rPr>
      <w:tblPr/>
    </w:tblStylePr>
    <w:tblStylePr w:type="lastCol">
      <w:rPr>
        <w:b/>
        <w:color w:themeColor="accent3" w:themeTint="98" w:themeShade="95"/>
      </w:rPr>
      <w:tblPr/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firstRow">
      <w:rPr>
        <w:b/>
        <w:color w:themeColor="accent4" w:themeTint="9a" w:themeShade="95"/>
      </w:rPr>
      <w:tblPr/>
      <w:tcPr>
        <w:tcBorders>
          <w:bottom w:val="single" w:color="FFC000" w:themeColor="accent4" w:sz="4" w:space="0"/>
        </w:tcBorders>
      </w:tcPr>
    </w:tblStylePr>
    <w:tblStylePr w:type="lastRow">
      <w:rPr>
        <w:b/>
        <w:color w:themeColor="accent4" w:themeTint="9a" w:themeShade="95"/>
      </w:rPr>
      <w:tblPr/>
      <w:tcPr>
        <w:tcBorders>
          <w:top w:val="single" w:color="FFC000" w:themeColor="accent4" w:sz="4" w:space="0"/>
        </w:tcBorders>
      </w:tcPr>
    </w:tblStylePr>
    <w:tblStylePr w:type="firstCol">
      <w:rPr>
        <w:b/>
        <w:color w:themeColor="accent4" w:themeTint="9a" w:themeShade="95"/>
      </w:rPr>
      <w:tblPr/>
    </w:tblStylePr>
    <w:tblStylePr w:type="lastCol">
      <w:rPr>
        <w:b/>
        <w:color w:themeColor="accent4" w:themeTint="9a" w:themeShade="95"/>
      </w:rPr>
      <w:tblPr/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firstRow">
      <w:rPr>
        <w:b/>
        <w:color w:themeColor="accent5" w:themeTint="9a" w:themeShade="95"/>
      </w:rPr>
      <w:tblPr/>
      <w:tcPr>
        <w:tcBorders>
          <w:bottom w:val="single" w:color="5B9BD5" w:themeColor="accent5" w:sz="4" w:space="0"/>
        </w:tcBorders>
      </w:tcPr>
    </w:tblStylePr>
    <w:tblStylePr w:type="lastRow">
      <w:rPr>
        <w:b/>
        <w:color w:themeColor="accent5" w:themeTint="9a" w:themeShade="95"/>
      </w:rPr>
      <w:tblPr/>
      <w:tcPr>
        <w:tcBorders>
          <w:top w:val="single" w:color="5B9BD5" w:themeColor="accent5" w:sz="4" w:space="0"/>
        </w:tcBorders>
      </w:tcPr>
    </w:tblStylePr>
    <w:tblStylePr w:type="firstCol">
      <w:rPr>
        <w:b/>
        <w:color w:themeColor="accent5" w:themeTint="9a" w:themeShade="95"/>
      </w:rPr>
      <w:tblPr/>
    </w:tblStylePr>
    <w:tblStylePr w:type="lastCol">
      <w:rPr>
        <w:b/>
        <w:color w:themeColor="accent5" w:themeTint="9a" w:themeShade="95"/>
      </w:rPr>
      <w:tblPr/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color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color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firstRow">
      <w:rPr>
        <w:b/>
        <w:color w:themeColor="accent6" w:themeTint="98" w:themeShade="95"/>
      </w:rPr>
      <w:tblPr/>
      <w:tcPr>
        <w:tcBorders>
          <w:bottom w:val="single" w:color="70AD47" w:themeColor="accent6" w:sz="4" w:space="0"/>
        </w:tcBorders>
      </w:tcPr>
    </w:tblStylePr>
    <w:tblStylePr w:type="lastRow">
      <w:rPr>
        <w:b/>
        <w:color w:themeColor="accent6" w:themeTint="98" w:themeShade="95"/>
      </w:rPr>
      <w:tblPr/>
      <w:tcPr>
        <w:tcBorders>
          <w:top w:val="single" w:color="70AD47" w:themeColor="accent6" w:sz="4" w:space="0"/>
        </w:tcBorders>
      </w:tcPr>
    </w:tblStylePr>
    <w:tblStylePr w:type="firstCol">
      <w:rPr>
        <w:b/>
        <w:color w:themeColor="accent6" w:themeTint="98" w:themeShade="95"/>
      </w:rPr>
      <w:tblPr/>
    </w:tblStylePr>
    <w:tblStylePr w:type="lastCol">
      <w:rPr>
        <w:b/>
        <w:color w:themeColor="accent6" w:themeTint="98" w:themeShade="95"/>
      </w:rPr>
      <w:tblPr/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themeColor="accent6" w:themeTint="98" w:themeShade="95"/>
        <w:sz w:val="22"/>
      </w:rPr>
      <w:tblPr/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FFFFFF" w:fill="auto"/>
      </w:tcPr>
    </w:tblStylePr>
    <w:tblStylePr w:type="lastCol"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color="4472C4" w:themeColor="accent1" w:sz="4" w:space="0"/>
      </w:tblBorders>
    </w:tblPr>
    <w:tblStylePr w:type="firstRow">
      <w:rPr>
        <w:i/>
        <w:color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themeColor="accent1" w:themeShade="95"/>
        <w:sz w:val="22"/>
      </w:rPr>
      <w:tblPr/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  <w:shd w:val="clear" w:color="FFFFFF" w:fill="auto"/>
      </w:tcPr>
    </w:tblStylePr>
    <w:tblStylePr w:type="lastCol">
      <w:rPr>
        <w:i/>
        <w:color w:themeColor="accent1" w:themeShade="95"/>
        <w:sz w:val="22"/>
      </w:rPr>
      <w:tblPr/>
      <w:tcPr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color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color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firstRow"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themeColor="accent2" w:themeTint="97" w:themeShade="95"/>
        <w:sz w:val="22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ED7D31" w:themeColor="accent2" w:sz="4" w:space="0"/>
        </w:tcBorders>
        <w:shd w:val="clear" w:color="FFFFFF" w:fill="auto"/>
      </w:tcPr>
    </w:tblStylePr>
    <w:tblStylePr w:type="lastCol"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single" w:color="ED7D31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firstRow">
      <w:rPr>
        <w:i/>
        <w:color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themeColor="accent3" w:themeTint="98" w:themeShade="95"/>
        <w:sz w:val="22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sz="4" w:space="0"/>
        </w:tcBorders>
        <w:shd w:val="clear" w:color="FFFFFF" w:fill="auto"/>
      </w:tcPr>
    </w:tblStylePr>
    <w:tblStylePr w:type="lastCol">
      <w:rPr>
        <w:i/>
        <w:color w:themeColor="accent3" w:themeTint="98" w:themeShade="95"/>
        <w:sz w:val="22"/>
      </w:rPr>
      <w:tblPr/>
      <w:tcPr>
        <w:tcBorders>
          <w:top w:val="none" w:color="000000" w:sz="4" w:space="0"/>
          <w:left w:val="single" w:color="A5A5A5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firstRow"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themeColor="accent4" w:themeTint="9a" w:themeShade="95"/>
        <w:sz w:val="22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C000" w:themeColor="accent4" w:sz="4" w:space="0"/>
        </w:tcBorders>
        <w:shd w:val="clear" w:color="FFFFFF" w:fill="auto"/>
      </w:tcPr>
    </w:tblStylePr>
    <w:tblStylePr w:type="lastCol"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single" w:color="FFC000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firstRow">
      <w:rPr>
        <w:i/>
        <w:color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themeColor="accent5" w:themeTint="9a" w:themeShade="95"/>
        <w:sz w:val="22"/>
      </w:rPr>
      <w:tblPr/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5" w:sz="4" w:space="0"/>
        </w:tcBorders>
        <w:shd w:val="clear" w:color="FFFFFF" w:fill="auto"/>
      </w:tcPr>
    </w:tblStylePr>
    <w:tblStylePr w:type="lastCol">
      <w:rPr>
        <w:i/>
        <w:color w:themeColor="accent5" w:themeTint="9a" w:themeShade="95"/>
        <w:sz w:val="22"/>
      </w:rPr>
      <w:tblPr/>
      <w:tcPr>
        <w:tcBorders>
          <w:top w:val="none" w:color="000000" w:sz="4" w:space="0"/>
          <w:left w:val="single" w:color="5B9BD5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color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color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firstRow">
      <w:rPr>
        <w:i/>
        <w:color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themeColor="accent6" w:themeTint="98" w:themeShade="95"/>
        <w:sz w:val="22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0AD47" w:themeColor="accent6" w:sz="4" w:space="0"/>
        </w:tcBorders>
        <w:shd w:val="clear" w:color="FFFFFF" w:fill="auto"/>
      </w:tcPr>
    </w:tblStylePr>
    <w:tblStylePr w:type="lastCol">
      <w:rPr>
        <w:i/>
        <w:color w:themeColor="accent6" w:themeTint="98" w:themeShade="95"/>
        <w:sz w:val="22"/>
      </w:rPr>
      <w:tblPr/>
      <w:tcPr>
        <w:tcBorders>
          <w:top w:val="none" w:color="000000" w:sz="4" w:space="0"/>
          <w:left w:val="single" w:color="70AD47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a1"/>
    <w:uiPriority w:val="99"/>
    <w:rPr>
      <w:lang w:eastAsia="uk-UA"/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7F7F7F" w:fill="7F7F7F" w:themeFill="text1" w:themeFillTint="80"/>
      </w:tcPr>
    </w:tblStylePr>
    <w:tblStylePr w:type="lastRow">
      <w:rPr>
        <w:sz w:val="22"/>
      </w:rPr>
      <w:tblPr/>
      <w:tcPr>
        <w:shd w:val="clear" w:color="7F7F7F" w:fill="7F7F7F" w:themeFill="text1" w:themeFillTint="80"/>
      </w:tcPr>
    </w:tblStylePr>
    <w:tblStylePr w:type="firstCol">
      <w:rPr>
        <w:sz w:val="22"/>
      </w:rPr>
      <w:tblPr/>
      <w:tcPr>
        <w:shd w:val="clear" w:color="7F7F7F" w:fill="7F7F7F" w:themeFill="text1" w:themeFillTint="80"/>
      </w:tcPr>
    </w:tblStylePr>
    <w:tblStylePr w:type="lastCol">
      <w:rPr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2F2F2" w:fill="F2F2F2" w:themeFill="text1" w:themeFillTint="d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Pr>
      <w:lang w:eastAsia="uk-UA"/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lang w:eastAsia="uk-UA"/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lang w:eastAsia="uk-UA"/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lang w:eastAsia="uk-UA"/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lang w:eastAsia="uk-UA"/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5B9BD5" w:fill="5B9BD5" w:themeFill="accent5"/>
      </w:tcPr>
    </w:tblStylePr>
    <w:tblStylePr w:type="lastRow">
      <w:rPr>
        <w:sz w:val="22"/>
      </w:rPr>
      <w:tblPr/>
      <w:tcPr>
        <w:shd w:val="clear" w:color="5B9BD5" w:fill="5B9BD5" w:themeFill="accent5"/>
      </w:tcPr>
    </w:tblStylePr>
    <w:tblStylePr w:type="firstCol">
      <w:rPr>
        <w:sz w:val="22"/>
      </w:rPr>
      <w:tblPr/>
      <w:tcPr>
        <w:shd w:val="clear" w:color="5B9BD5" w:fill="5B9BD5" w:themeFill="accent5"/>
      </w:tcPr>
    </w:tblStylePr>
    <w:tblStylePr w:type="lastCol">
      <w:rPr>
        <w:sz w:val="22"/>
      </w:rPr>
      <w:tblPr/>
      <w:tcPr>
        <w:shd w:val="clear" w:color="5B9BD5" w:fill="5B9BD5" w:themeFill="accent5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lang w:eastAsia="uk-UA"/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70AD47" w:fill="70AD47" w:themeFill="accent6"/>
      </w:tcPr>
    </w:tblStylePr>
    <w:tblStylePr w:type="lastRow">
      <w:rPr>
        <w:sz w:val="22"/>
      </w:rPr>
      <w:tblPr/>
      <w:tcPr>
        <w:shd w:val="clear" w:color="70AD47" w:fill="70AD47" w:themeFill="accent6"/>
      </w:tcPr>
    </w:tblStylePr>
    <w:tblStylePr w:type="firstCol">
      <w:rPr>
        <w:sz w:val="22"/>
      </w:rPr>
      <w:tblPr/>
      <w:tcPr>
        <w:shd w:val="clear" w:color="70AD47" w:fill="70AD47" w:themeFill="accent6"/>
      </w:tcPr>
    </w:tblStylePr>
    <w:tblStylePr w:type="lastCol">
      <w:rPr>
        <w:sz w:val="22"/>
      </w:rPr>
      <w:tblPr/>
      <w:tcPr>
        <w:shd w:val="clear" w:color="70AD47" w:fill="70AD47" w:themeFill="accent6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lang w:eastAsia="uk-UA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firstRow">
      <w:rPr>
        <w:sz w:val="22"/>
      </w:rPr>
      <w:tblPr/>
      <w:tcPr>
        <w:shd w:val="clear" w:color="7F7F7F" w:fill="7F7F7F" w:themeFill="text1" w:themeFillTint="80"/>
      </w:tcPr>
    </w:tblStylePr>
    <w:tblStylePr w:type="lastRow">
      <w:rPr>
        <w:sz w:val="22"/>
      </w:rPr>
      <w:tblPr/>
      <w:tcPr>
        <w:shd w:val="clear" w:color="7F7F7F" w:fill="7F7F7F" w:themeFill="text1" w:themeFillTint="80"/>
      </w:tcPr>
    </w:tblStylePr>
    <w:tblStylePr w:type="firstCol">
      <w:rPr>
        <w:sz w:val="22"/>
      </w:rPr>
      <w:tblPr/>
      <w:tcPr>
        <w:shd w:val="clear" w:color="7F7F7F" w:fill="7F7F7F" w:themeFill="text1" w:themeFillTint="80"/>
      </w:tcPr>
    </w:tblStylePr>
    <w:tblStylePr w:type="lastCol">
      <w:rPr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2F2F2" w:fill="F2F2F2" w:themeFill="text1" w:themeFillTint="d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Pr>
      <w:lang w:eastAsia="uk-UA"/>
      <w:sz w:val="20"/>
      <w:szCs w:val="20"/>
    </w:r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  <w:insideH w:val="single" w:color="4472C4" w:themeColor="accent1" w:sz="4" w:space="0"/>
        <w:insideV w:val="single" w:color="4472C4" w:themeColor="accent1" w:sz="4" w:space="0"/>
      </w:tblBorders>
    </w:tblPr>
    <w:tblStylePr w:type="firstRow">
      <w:rPr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lang w:eastAsia="uk-UA"/>
      <w:sz w:val="20"/>
      <w:szCs w:val="20"/>
    </w:rPr>
    <w:tblPr>
      <w:tblStyleRowBandSize w:val="1"/>
      <w:tblStyleColBandSize w:val="1"/>
      <w:tblBorders>
        <w:top w:val="single" w:color="ED7D31" w:themeColor="accent2" w:sz="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  <w:insideH w:val="single" w:color="ED7D31" w:themeColor="accent2" w:sz="4" w:space="0"/>
        <w:insideV w:val="single" w:color="ED7D31" w:themeColor="accent2" w:sz="4" w:space="0"/>
      </w:tblBorders>
    </w:tblPr>
    <w:tblStylePr w:type="firstRow">
      <w:rPr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lang w:eastAsia="uk-UA"/>
      <w:sz w:val="20"/>
      <w:szCs w:val="20"/>
    </w:rPr>
    <w:tblPr>
      <w:tblStyleRowBandSize w:val="1"/>
      <w:tblStyleColBandSize w:val="1"/>
      <w:tblBorders>
        <w:top w:val="single" w:color="A5A5A5" w:themeColor="accent3" w:sz="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  <w:insideH w:val="single" w:color="A5A5A5" w:themeColor="accent3" w:sz="4" w:space="0"/>
        <w:insideV w:val="single" w:color="A5A5A5" w:themeColor="accent3" w:sz="4" w:space="0"/>
      </w:tblBorders>
    </w:tblPr>
    <w:tblStylePr w:type="firstRow">
      <w:rPr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lang w:eastAsia="uk-UA"/>
      <w:sz w:val="20"/>
      <w:szCs w:val="20"/>
    </w:rPr>
    <w:tblPr>
      <w:tblStyleRowBandSize w:val="1"/>
      <w:tblStyleColBandSize w:val="1"/>
      <w:tblBorders>
        <w:top w:val="single" w:color="FFC000" w:themeColor="accent4" w:sz="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  <w:insideH w:val="single" w:color="FFC000" w:themeColor="accent4" w:sz="4" w:space="0"/>
        <w:insideV w:val="single" w:color="FFC000" w:themeColor="accent4" w:sz="4" w:space="0"/>
      </w:tblBorders>
    </w:tblPr>
    <w:tblStylePr w:type="firstRow">
      <w:rPr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lang w:eastAsia="uk-UA"/>
      <w:sz w:val="20"/>
      <w:szCs w:val="20"/>
    </w:r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firstRow">
      <w:rPr>
        <w:sz w:val="22"/>
      </w:rPr>
      <w:tblPr/>
      <w:tcPr>
        <w:shd w:val="clear" w:color="5B9BD5" w:fill="5B9BD5" w:themeFill="accent5"/>
      </w:tcPr>
    </w:tblStylePr>
    <w:tblStylePr w:type="lastRow">
      <w:rPr>
        <w:sz w:val="22"/>
      </w:rPr>
      <w:tblPr/>
      <w:tcPr>
        <w:shd w:val="clear" w:color="5B9BD5" w:fill="5B9BD5" w:themeFill="accent5"/>
      </w:tcPr>
    </w:tblStylePr>
    <w:tblStylePr w:type="firstCol">
      <w:rPr>
        <w:sz w:val="22"/>
      </w:rPr>
      <w:tblPr/>
      <w:tcPr>
        <w:shd w:val="clear" w:color="5B9BD5" w:fill="5B9BD5" w:themeFill="accent5"/>
      </w:tcPr>
    </w:tblStylePr>
    <w:tblStylePr w:type="lastCol">
      <w:rPr>
        <w:sz w:val="22"/>
      </w:rPr>
      <w:tblPr/>
      <w:tcPr>
        <w:shd w:val="clear" w:color="5B9BD5" w:fill="5B9BD5" w:themeFill="accent5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lang w:eastAsia="uk-UA"/>
      <w:sz w:val="20"/>
      <w:szCs w:val="20"/>
    </w:r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sz w:val="22"/>
      </w:rPr>
      <w:tblPr/>
      <w:tcPr>
        <w:shd w:val="clear" w:color="70AD47" w:fill="70AD47" w:themeFill="accent6"/>
      </w:tcPr>
    </w:tblStylePr>
    <w:tblStylePr w:type="lastRow">
      <w:rPr>
        <w:sz w:val="22"/>
      </w:rPr>
      <w:tblPr/>
      <w:tcPr>
        <w:shd w:val="clear" w:color="70AD47" w:fill="70AD47" w:themeFill="accent6"/>
      </w:tcPr>
    </w:tblStylePr>
    <w:tblStylePr w:type="firstCol">
      <w:rPr>
        <w:sz w:val="22"/>
      </w:rPr>
      <w:tblPr/>
      <w:tcPr>
        <w:shd w:val="clear" w:color="70AD47" w:fill="70AD47" w:themeFill="accent6"/>
      </w:tcPr>
    </w:tblStylePr>
    <w:tblStylePr w:type="lastCol">
      <w:rPr>
        <w:sz w:val="22"/>
      </w:rPr>
      <w:tblPr/>
      <w:tcPr>
        <w:shd w:val="clear" w:color="70AD47" w:fill="70AD47" w:themeFill="accent6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firstRow">
      <w:rPr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sz w:val="22"/>
      </w:rPr>
      <w:tblPr/>
      <w:tcPr>
        <w:tcBorders>
          <w:top w:val="single" w:color="000000" w:themeColor="text1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000000" w:themeColor="text1" w:sz="12" w:space="0"/>
        </w:tcBorders>
      </w:tcPr>
    </w:tblStylePr>
    <w:tblStylePr w:type="band1Horz">
      <w:rPr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firstRow">
      <w:rPr>
        <w:sz w:val="22"/>
      </w:rPr>
      <w:tblPr/>
      <w:tcPr>
        <w:tcBorders>
          <w:bottom w:val="single" w:color="4472C4" w:themeColor="accent1" w:sz="12" w:space="0"/>
        </w:tcBorders>
      </w:tcPr>
    </w:tblStylePr>
    <w:tblStylePr w:type="lastRow">
      <w:rPr>
        <w:sz w:val="22"/>
      </w:rPr>
      <w:tblPr/>
      <w:tcPr>
        <w:tcBorders>
          <w:top w:val="single" w:color="4472C4" w:themeColor="accent1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4472C4" w:themeColor="accent1" w:sz="12" w:space="0"/>
        </w:tcBorders>
      </w:tcPr>
    </w:tblStylePr>
    <w:tblStylePr w:type="band1Horz">
      <w:rPr>
        <w:sz w:val="22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sz w:val="22"/>
      </w:rPr>
      <w:tblPr/>
      <w:tcPr>
        <w:tcBorders>
          <w:bottom w:val="single" w:color="ED7D31" w:themeColor="accent2" w:sz="12" w:space="0"/>
        </w:tcBorders>
      </w:tcPr>
    </w:tblStylePr>
    <w:tblStylePr w:type="lastRow">
      <w:rPr>
        <w:sz w:val="22"/>
      </w:rPr>
      <w:tblPr/>
      <w:tcPr>
        <w:tcBorders>
          <w:top w:val="single" w:color="ED7D31" w:themeColor="accent2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ED7D31" w:themeColor="accent2" w:sz="12" w:space="0"/>
        </w:tcBorders>
      </w:tcPr>
    </w:tblStylePr>
    <w:tblStylePr w:type="band1Horz">
      <w:rPr>
        <w:sz w:val="22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sz w:val="22"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sz w:val="22"/>
      </w:rPr>
      <w:tblPr/>
      <w:tcPr>
        <w:tcBorders>
          <w:top w:val="single" w:color="A5A5A5" w:themeColor="accent3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A5A5A5" w:themeColor="accent3" w:sz="12" w:space="0"/>
        </w:tcBorders>
      </w:tcPr>
    </w:tblStylePr>
    <w:tblStylePr w:type="band1Horz">
      <w:rPr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firstRow">
      <w:rPr>
        <w:sz w:val="22"/>
      </w:rPr>
      <w:tblPr/>
      <w:tcPr>
        <w:tcBorders>
          <w:bottom w:val="single" w:color="FFC000" w:themeColor="accent4" w:sz="12" w:space="0"/>
        </w:tcBorders>
      </w:tcPr>
    </w:tblStylePr>
    <w:tblStylePr w:type="lastRow">
      <w:rPr>
        <w:sz w:val="22"/>
      </w:rPr>
      <w:tblPr/>
      <w:tcPr>
        <w:tcBorders>
          <w:top w:val="single" w:color="FFC000" w:themeColor="accent4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FFC000" w:themeColor="accent4" w:sz="12" w:space="0"/>
        </w:tcBorders>
      </w:tcPr>
    </w:tblStylePr>
    <w:tblStylePr w:type="band1Horz">
      <w:rPr>
        <w:sz w:val="22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firstRow">
      <w:rPr>
        <w:sz w:val="22"/>
      </w:rPr>
      <w:tblPr/>
      <w:tcPr>
        <w:tcBorders>
          <w:bottom w:val="single" w:color="5B9BD5" w:themeColor="accent5" w:sz="12" w:space="0"/>
        </w:tcBorders>
      </w:tcPr>
    </w:tblStylePr>
    <w:tblStylePr w:type="lastRow">
      <w:rPr>
        <w:sz w:val="22"/>
      </w:rPr>
      <w:tblPr/>
      <w:tcPr>
        <w:tcBorders>
          <w:top w:val="single" w:color="5B9BD5" w:themeColor="accent5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5B9BD5" w:themeColor="accent5" w:sz="12" w:space="0"/>
        </w:tcBorders>
      </w:tcPr>
    </w:tblStylePr>
    <w:tblStylePr w:type="band1Horz">
      <w:rPr>
        <w:sz w:val="22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sz w:val="22"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sz w:val="22"/>
      </w:rPr>
      <w:tblPr/>
      <w:tcPr>
        <w:tcBorders>
          <w:top w:val="single" w:color="70AD47" w:themeColor="accent6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70AD47" w:themeColor="accent6" w:sz="12" w:space="0"/>
        </w:tcBorders>
      </w:tcPr>
    </w:tblStylePr>
    <w:tblStylePr w:type="band1Horz">
      <w:rPr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</w:style>
  <w:style w:type="table" w:styleId="aff6">
    <w:name w:val="Table Grid"/>
    <w:basedOn w:val="a1"/>
    <w:uiPriority w:val="59"/>
    <w:rPr>
      <w:rFonts w:eastAsiaTheme="minorEastAsia"/>
      <w:lang w:val="ru-RU"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Collabora_Office/22.05.20.1$Linux_X86_64 LibreOffice_project/bd9263bb6d0222e89e44fbff51d0d094dad8e281</Application>
  <AppVersion>15.0000</AppVersion>
  <Pages>11</Pages>
  <Words>1978</Words>
  <Characters>13771</Characters>
  <CharactersWithSpaces>15466</CharactersWithSpaces>
  <Paragraphs>308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2024-02-23T09:08:00Z</dcterms:created>
  <dc:creator>Поліна Бєлінська</dc:creator>
  <dc:description/>
  <dc:language>uk-UA</dc:language>
  <cp:lastModifiedBy/>
  <dcterms:modified xsi:type="dcterms:W3CDTF">2024-02-26T16:50:24Z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ActionId">
    <vt:lpwstr>6d6a02e8-042a-4435-8f26-66c9297ae3b2</vt:lpwstr>
  </property>
  <property fmtid="{D5CDD505-2E9C-101B-9397-08002B2CF9AE}" pid="3" name="MSIP_Label_defa4170-0d19-0005-0004-bc88714345d2_ContentBits">
    <vt:lpwstr>0</vt:lpwstr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etDate">
    <vt:lpwstr>2023-09-25T08:50:41Z</vt:lpwstr>
  </property>
  <property fmtid="{D5CDD505-2E9C-101B-9397-08002B2CF9AE}" pid="8" name="MSIP_Label_defa4170-0d19-0005-0004-bc88714345d2_SiteId">
    <vt:lpwstr>269ae716-e3ac-43c3-afed-32aac9da268f</vt:lpwstr>
  </property>
</Properties>
</file>