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>
        <w:rPr>
          <w:rFonts w:ascii="Times New Roman" w:hAnsi="Times New Roman"/>
          <w:sz w:val="28"/>
          <w:szCs w:val="28"/>
        </w:rPr>
        <w:t>Постанови Кабінету Міністрів України від 11 жовтня 2016 р. 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710 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>(зі змінами))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0"/>
        <w:gridCol w:w="2528"/>
        <w:gridCol w:w="7088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(код за ЄДРПОУ 14317108)</w:t>
            </w:r>
          </w:p>
        </w:tc>
      </w:tr>
      <w:tr>
        <w:trPr>
          <w:trHeight w:val="65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за ДК 021:2015 31150000-2, Баласти для розрядних ламп чи трубок (Джерело безперебійного живлення)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>
        <w:trPr>
          <w:trHeight w:val="694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</w:rPr>
              <w:t>UA-2024-01-26-008325-a</w:t>
            </w:r>
            <w:bookmarkEnd w:id="1"/>
          </w:p>
        </w:tc>
      </w:tr>
      <w:tr>
        <w:trPr>
          <w:trHeight w:val="9658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Джерело безперебійного живлення 160 шт </w:t>
            </w:r>
          </w:p>
          <w:tbl>
            <w:tblPr>
              <w:tblW w:w="68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352"/>
              <w:gridCol w:w="3543"/>
            </w:tblGrid>
            <w:tr>
              <w:trPr>
                <w:trHeight w:val="422" w:hRule="atLeast"/>
              </w:trPr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Потужність, не менше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550VA (900W)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лінійно-інтерактивний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Діапазон вхідної напруги, не гірше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145-295В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Вхідна частота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50/60±1%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Форма вхідної напруги від мережі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правильна синусоїда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Форма вхідної напруги від АКБ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апроксимована синусоїда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 перемикання, мс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2-6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Кількість вбудованих АКБ, шт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Ємність вбудованої АКБ, Ah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24V (12,8V - 8 Ah * 2)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Тип батареї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Закриті, необслуговувані свинцево-кислотні акумулятори 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 перезарядки батареї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більше 8 годин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Вихідні роз'єми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менше 4-х  типу Schuko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Захист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 короткого замикання, стрибків напруги, перевантаження, розряду, надлишкового заряду батарей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Комунікаційні можливості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USB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Програмне забезпечення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комплекті поставки, або у вільному доступі для завантаження на сайті виробника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Особливості конструкції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Розташування роз'ємів в тильній частині ДБЖ.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Тип індикації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LCD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Робочі температури, не гірше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0-40°С</w:t>
                  </w:r>
                </w:p>
              </w:tc>
            </w:tr>
            <w:tr>
              <w:trPr/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Габарити ШГВ, не більше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х320х220мм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Вага, не більше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9,8кг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Гарантійний термін, не менше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 місяці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>
        <w:trPr>
          <w:trHeight w:val="747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736 000,00 грн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 275 (зі змінами)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методом порівняння ринкових цін.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 CYR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21320008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33b3"/>
    <w:pPr>
      <w:widowControl/>
      <w:bidi w:val="0"/>
      <w:spacing w:lineRule="auto" w:line="276" w:before="0" w:after="20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Heading1">
    <w:name w:val="Heading 1"/>
    <w:basedOn w:val="Normal"/>
    <w:link w:val="1"/>
    <w:uiPriority w:val="9"/>
    <w:qFormat/>
    <w:rsid w:val="00175d5d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val="x-none" w:eastAsia="uk-UA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8b35e8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uiPriority w:val="9"/>
    <w:qFormat/>
    <w:rsid w:val="00175d5d"/>
    <w:rPr>
      <w:rFonts w:eastAsia="Times New Roman" w:cs="Times New Roman"/>
      <w:b/>
      <w:bCs/>
      <w:kern w:val="2"/>
      <w:sz w:val="48"/>
      <w:szCs w:val="48"/>
      <w:lang w:eastAsia="uk-UA"/>
    </w:rPr>
  </w:style>
  <w:style w:type="character" w:styleId="Qabuget" w:customStyle="1">
    <w:name w:val="qa_buget"/>
    <w:basedOn w:val="DefaultParagraphFont"/>
    <w:qFormat/>
    <w:rsid w:val="00175d5d"/>
    <w:rPr/>
  </w:style>
  <w:style w:type="character" w:styleId="Qacode" w:customStyle="1">
    <w:name w:val="qa_code"/>
    <w:basedOn w:val="DefaultParagraphFont"/>
    <w:qFormat/>
    <w:rsid w:val="00175d5d"/>
    <w:rPr/>
  </w:style>
  <w:style w:type="character" w:styleId="Style7" w:customStyle="1">
    <w:name w:val="Текст у виносці Знак"/>
    <w:link w:val="BalloonText"/>
    <w:uiPriority w:val="99"/>
    <w:qFormat/>
    <w:rsid w:val="00846ac4"/>
    <w:rPr>
      <w:rFonts w:ascii="Segoe UI" w:hAnsi="Segoe UI" w:cs="Segoe UI"/>
      <w:sz w:val="18"/>
      <w:szCs w:val="18"/>
    </w:rPr>
  </w:style>
  <w:style w:type="character" w:styleId="Hhidden" w:customStyle="1">
    <w:name w:val="h-hidden"/>
    <w:qFormat/>
    <w:rsid w:val="000f15ca"/>
    <w:rPr/>
  </w:style>
  <w:style w:type="character" w:styleId="Hyperlink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b80136"/>
    <w:rPr>
      <w:sz w:val="16"/>
      <w:szCs w:val="16"/>
    </w:rPr>
  </w:style>
  <w:style w:type="character" w:styleId="Style8" w:customStyle="1">
    <w:name w:val="Текст примітки Знак"/>
    <w:link w:val="Annotationtext"/>
    <w:uiPriority w:val="99"/>
    <w:semiHidden/>
    <w:qFormat/>
    <w:rsid w:val="00b80136"/>
    <w:rPr>
      <w:rFonts w:ascii="Calibri" w:hAnsi="Calibri" w:cs="Times New Roman"/>
      <w:lang w:eastAsia="en-US"/>
    </w:rPr>
  </w:style>
  <w:style w:type="character" w:styleId="Style9" w:customStyle="1">
    <w:name w:val="Тема примітки Знак"/>
    <w:link w:val="Annotationsubject"/>
    <w:uiPriority w:val="99"/>
    <w:semiHidden/>
    <w:qFormat/>
    <w:rsid w:val="00b80136"/>
    <w:rPr>
      <w:rFonts w:ascii="Calibri" w:hAnsi="Calibri" w:cs="Times New Roman"/>
      <w:b/>
      <w:bCs/>
      <w:lang w:eastAsia="en-US"/>
    </w:rPr>
  </w:style>
  <w:style w:type="character" w:styleId="Style10" w:customStyle="1">
    <w:name w:val="Без інтервалів Знак"/>
    <w:link w:val="NoSpacing"/>
    <w:qFormat/>
    <w:locked/>
    <w:rsid w:val="005051e6"/>
    <w:rPr>
      <w:rFonts w:ascii="Calibri" w:hAnsi="Calibri" w:cs="Times New Roman"/>
      <w:sz w:val="22"/>
      <w:szCs w:val="22"/>
      <w:lang w:eastAsia="en-US"/>
    </w:rPr>
  </w:style>
  <w:style w:type="character" w:styleId="Style11" w:customStyle="1">
    <w:name w:val="Основний текст Знак"/>
    <w:qFormat/>
    <w:rsid w:val="00d32609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907e51"/>
    <w:rPr>
      <w:b/>
      <w:bCs/>
    </w:rPr>
  </w:style>
  <w:style w:type="character" w:styleId="2" w:customStyle="1">
    <w:name w:val="Заголовок 2 Знак"/>
    <w:uiPriority w:val="9"/>
    <w:qFormat/>
    <w:rsid w:val="008b35e8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Style12" w:customStyle="1">
    <w:name w:val="Абзац списку Знак"/>
    <w:link w:val="ListParagraph"/>
    <w:uiPriority w:val="99"/>
    <w:qFormat/>
    <w:locked/>
    <w:rsid w:val="00b4271d"/>
    <w:rPr>
      <w:rFonts w:eastAsia="Times New Roman" w:cs="Times New Roman"/>
      <w:lang w:eastAsia="ru-RU"/>
    </w:rPr>
  </w:style>
  <w:style w:type="character" w:styleId="Style13" w:customStyle="1">
    <w:name w:val="Верх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character" w:styleId="Style14" w:customStyle="1">
    <w:name w:val="Ниж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link w:val="Style11"/>
    <w:rsid w:val="00d32609"/>
    <w:pPr>
      <w:widowControl w:val="false"/>
      <w:spacing w:lineRule="auto" w:line="240" w:before="0" w:after="120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7"/>
    <w:uiPriority w:val="99"/>
    <w:unhideWhenUsed/>
    <w:qFormat/>
    <w:rsid w:val="00846ac4"/>
    <w:pPr>
      <w:spacing w:lineRule="auto" w:line="240" w:before="0" w:after="0"/>
    </w:pPr>
    <w:rPr>
      <w:rFonts w:ascii="Segoe UI" w:hAnsi="Segoe UI"/>
      <w:sz w:val="18"/>
      <w:szCs w:val="18"/>
      <w:lang w:val="x-none" w:eastAsia="x-none"/>
    </w:rPr>
  </w:style>
  <w:style w:type="paragraph" w:styleId="Annotationtext">
    <w:name w:val="annotation text"/>
    <w:basedOn w:val="Normal"/>
    <w:link w:val="Style8"/>
    <w:uiPriority w:val="99"/>
    <w:semiHidden/>
    <w:unhideWhenUsed/>
    <w:qFormat/>
    <w:rsid w:val="00b801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9"/>
    <w:uiPriority w:val="99"/>
    <w:semiHidden/>
    <w:unhideWhenUsed/>
    <w:qFormat/>
    <w:rsid w:val="00b80136"/>
    <w:pPr/>
    <w:rPr>
      <w:b/>
      <w:bCs/>
    </w:rPr>
  </w:style>
  <w:style w:type="paragraph" w:styleId="NoSpacing">
    <w:name w:val="No Spacing"/>
    <w:link w:val="Style10"/>
    <w:qFormat/>
    <w:rsid w:val="00df0762"/>
    <w:pPr>
      <w:widowControl/>
      <w:bidi w:val="0"/>
      <w:spacing w:before="0" w:after="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ListParagraph">
    <w:name w:val="List Paragraph"/>
    <w:basedOn w:val="Normal"/>
    <w:link w:val="Style12"/>
    <w:uiPriority w:val="99"/>
    <w:qFormat/>
    <w:rsid w:val="00b4271d"/>
    <w:pPr>
      <w:widowControl w:val="false"/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1" w:customStyle="1">
    <w:name w:val="Абзац списку1"/>
    <w:basedOn w:val="Normal"/>
    <w:qFormat/>
    <w:rsid w:val="00f76ecb"/>
    <w:pPr>
      <w:spacing w:before="0" w:after="0"/>
      <w:ind w:left="720" w:hanging="0"/>
      <w:jc w:val="both"/>
    </w:pPr>
    <w:rPr>
      <w:rFonts w:ascii="Times New Roman" w:hAnsi="Times New Roman"/>
      <w:sz w:val="24"/>
      <w:szCs w:val="24"/>
    </w:rPr>
  </w:style>
  <w:style w:type="paragraph" w:styleId="Style17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c33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ітка таблиці1"/>
    <w:basedOn w:val="a1"/>
    <w:uiPriority w:val="39"/>
    <w:rsid w:val="006b6cea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96F7-AD4E-4D06-B464-F4B2C227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Collabora_Office/22.05.20.1$Linux_X86_64 LibreOffice_project/bd9263bb6d0222e89e44fbff51d0d094dad8e281</Application>
  <AppVersion>15.0000</AppVersion>
  <Pages>2</Pages>
  <Words>318</Words>
  <Characters>2158</Characters>
  <CharactersWithSpaces>2415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2024-01-26T12:46:00Z</dcterms:created>
  <dc:creator>Людмила М. Дяченко</dc:creator>
  <dc:description/>
  <dc:language>uk-UA</dc:language>
  <cp:lastModifiedBy>User449</cp:lastModifiedBy>
  <cp:lastPrinted>2022-11-30T12:10:00Z</cp:lastPrinted>
  <dcterms:modified xsi:type="dcterms:W3CDTF">2024-01-26T13:09:00Z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