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1" w:name="_Hlk94703984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>
        <w:rPr>
          <w:rFonts w:ascii="Times New Roman" w:hAnsi="Times New Roman"/>
          <w:sz w:val="28"/>
          <w:szCs w:val="28"/>
        </w:rPr>
        <w:t>Постанови Кабінету Міністрів України від 11 жовтня 2016 р. 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710 «Про ефективне використання державних коштів» </w:t>
      </w:r>
      <w:bookmarkEnd w:id="1"/>
      <w:r>
        <w:rPr>
          <w:rFonts w:ascii="Times New Roman" w:hAnsi="Times New Roman"/>
          <w:sz w:val="28"/>
          <w:szCs w:val="28"/>
        </w:rPr>
        <w:t>(зі змінами))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0"/>
        <w:gridCol w:w="2528"/>
        <w:gridCol w:w="7088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(код за ЄДРПОУ 14317108)</w:t>
            </w:r>
          </w:p>
        </w:tc>
      </w:tr>
      <w:tr>
        <w:trPr>
          <w:trHeight w:val="65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за ДК 021:2015 - 66510000-8 Страхові послуги (Послуги з обов’язкового страхування цивільно-правової відповідальності власників наземних транспортних засобів)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>
        <w:trPr>
          <w:trHeight w:val="694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UA-2024-01-10-001629-a</w:t>
            </w:r>
          </w:p>
        </w:tc>
      </w:tr>
      <w:tr>
        <w:trPr>
          <w:trHeight w:val="4272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spacing w:lineRule="auto" w:line="240" w:before="0" w:after="0"/>
              <w:contextualSpacing/>
              <w:outlineLvl w:val="4"/>
              <w:rPr>
                <w:rFonts w:ascii="Times New Roman" w:hAnsi="Times New Roman" w:eastAsia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транспортних засобів, що підлягають обов’язковому страхуванню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реєстрації транспортних засобів: м. Київ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tbl>
            <w:tblPr>
              <w:tblW w:w="674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03"/>
              <w:gridCol w:w="1509"/>
              <w:gridCol w:w="1701"/>
              <w:gridCol w:w="1384"/>
              <w:gridCol w:w="1452"/>
            </w:tblGrid>
            <w:tr>
              <w:trPr>
                <w:trHeight w:val="679" w:hRule="atLeast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color w:val="000000"/>
                      <w:lang w:eastAsia="uk-UA"/>
                    </w:rPr>
                    <w:t xml:space="preserve">№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color w:val="000000"/>
                      <w:lang w:eastAsia="uk-UA"/>
                    </w:rPr>
                    <w:t>з/п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color w:val="000000"/>
                      <w:lang w:eastAsia="uk-UA"/>
                    </w:rPr>
                    <w:t xml:space="preserve">Категорія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color w:val="000000"/>
                      <w:lang w:eastAsia="uk-UA"/>
                    </w:rPr>
                    <w:t>Кількість авто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color w:val="000000"/>
                      <w:lang w:eastAsia="uk-UA"/>
                    </w:rPr>
                    <w:t>Кількість полісів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color w:val="000000"/>
                      <w:lang w:eastAsia="uk-UA"/>
                    </w:rPr>
                    <w:t>Термін дії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</w:t>
                  </w:r>
                </w:p>
              </w:tc>
              <w:tc>
                <w:tcPr>
                  <w:tcW w:w="15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В1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23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23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 місяців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2</w:t>
                  </w:r>
                </w:p>
              </w:tc>
              <w:tc>
                <w:tcPr>
                  <w:tcW w:w="15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В2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24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24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 місяців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3</w:t>
                  </w:r>
                </w:p>
              </w:tc>
              <w:tc>
                <w:tcPr>
                  <w:tcW w:w="15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В3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13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13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 місяців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4</w:t>
                  </w:r>
                </w:p>
              </w:tc>
              <w:tc>
                <w:tcPr>
                  <w:tcW w:w="15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В4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 місяців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5</w:t>
                  </w:r>
                </w:p>
              </w:tc>
              <w:tc>
                <w:tcPr>
                  <w:tcW w:w="15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С1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 місяців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6</w:t>
                  </w:r>
                </w:p>
              </w:tc>
              <w:tc>
                <w:tcPr>
                  <w:tcW w:w="15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С2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10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10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 місяців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7</w:t>
                  </w:r>
                </w:p>
              </w:tc>
              <w:tc>
                <w:tcPr>
                  <w:tcW w:w="15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D2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6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12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color w:val="000000"/>
                      <w:lang w:eastAsia="uk-UA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lang w:eastAsia="uk-UA"/>
                    </w:rPr>
                    <w:t>6 місяців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tbl>
            <w:tblPr>
              <w:tblW w:w="674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66"/>
              <w:gridCol w:w="6182"/>
            </w:tblGrid>
            <w:tr>
              <w:trPr>
                <w:trHeight w:val="557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Умови страхування</w:t>
                  </w:r>
                </w:p>
              </w:tc>
            </w:tr>
            <w:tr>
              <w:trPr>
                <w:trHeight w:val="1598" w:hRule="atLeast"/>
              </w:trPr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8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Страховик відповідно до Закону України «Про страхування» та  Закону України «Про обов'язкове страхування цивільно-правової відповідальності власників наземних транспортних засобів» (надалі – Закон), на підставі Ліцензії,  виданої Національною комісією, що здійснює державне регулювання у сфері ринків фінансових послуг України, Свідоцтва МТСБУ та на умовах договору страхування здійснює страхування з метою забезпечення відшкодування шкоди, заподіяної  життю,  здоров'ю  та  майну третіх осіб внаслідок експлуатації забезпеченого транспортного засобу.</w:t>
                  </w:r>
                </w:p>
              </w:tc>
            </w:tr>
            <w:tr>
              <w:trPr>
                <w:trHeight w:val="839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Страховим випадком є дорожньо-транспортна пригода, що сталася за участю забезпеченого транспортного засобу, внаслідок якої настає цивільно-правова відповідальність особи, відповідальність якої застрахована, за шкоду, заподіяну життю, здоров’ю та/або майну потерпілого.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Розмір страхового платежу (внеску, премії) встановлюється страховиком відповідно до Постанови Національного банку України, від 30 травня 2022 року №108 (надалі – Постанова) шляхом добутку розміру базового страхового платежу та значень відповідних коригуючих коефіцієнтів з урахуванням положень </w:t>
                  </w:r>
                  <w:r>
                    <w:fldChar w:fldCharType="begin"/>
                  </w:r>
                  <w:r>
                    <w:rPr>
                      <w:sz w:val="24"/>
                      <w:u w:val="single"/>
                      <w:szCs w:val="24"/>
                      <w:rFonts w:ascii="Times New Roman" w:hAnsi="Times New Roman"/>
                      <w:color w:val="0000FF"/>
                    </w:rPr>
                    <w:instrText xml:space="preserve"> HYPERLINK "https://zakon2.rada.gov.ua/laws/show/1961-15" \l "n91"</w:instrText>
                  </w:r>
                  <w:r>
                    <w:rPr>
                      <w:sz w:val="24"/>
                      <w:u w:val="single"/>
                      <w:szCs w:val="24"/>
                      <w:rFonts w:ascii="Times New Roman" w:hAnsi="Times New Roman"/>
                      <w:color w:val="0000FF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пункту 13.2</w:t>
                  </w:r>
                  <w:r>
                    <w:rPr>
                      <w:sz w:val="24"/>
                      <w:u w:val="single"/>
                      <w:szCs w:val="24"/>
                      <w:rFonts w:ascii="Times New Roman" w:hAnsi="Times New Roman"/>
                      <w:color w:val="0000FF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статті 13 Закону. Порядок застосування коефіцієнта бонус-малус має відповідати вимогам </w:t>
                  </w:r>
                  <w:r>
                    <w:fldChar w:fldCharType="begin"/>
                  </w:r>
                  <w:r>
                    <w:rPr>
                      <w:sz w:val="24"/>
                      <w:u w:val="single"/>
                      <w:szCs w:val="24"/>
                      <w:rFonts w:ascii="Times New Roman" w:hAnsi="Times New Roman"/>
                      <w:color w:val="0000FF"/>
                    </w:rPr>
                    <w:instrText xml:space="preserve"> HYPERLINK "https://zakon.rada.gov.ua/laws/show/en/1961-15" \l "n57" \n _blank</w:instrText>
                  </w:r>
                  <w:r>
                    <w:rPr>
                      <w:sz w:val="24"/>
                      <w:u w:val="single"/>
                      <w:szCs w:val="24"/>
                      <w:rFonts w:ascii="Times New Roman" w:hAnsi="Times New Roman"/>
                      <w:color w:val="0000FF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статті 8</w:t>
                  </w:r>
                  <w:r>
                    <w:rPr>
                      <w:sz w:val="24"/>
                      <w:u w:val="single"/>
                      <w:szCs w:val="24"/>
                      <w:rFonts w:ascii="Times New Roman" w:hAnsi="Times New Roman"/>
                      <w:color w:val="0000FF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Закону щодо визначення класу страхувальника та Постанови. Страховику забороняється встановлювати або пропонувати встановити розмір страхового платежу, розрахований в інший спосіб.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Розміри страхових сум за договорами обов’язкового страхування цивільно-правової відповідальності власників наземних транспортних засобів</w:t>
                  </w:r>
                  <w:bookmarkStart w:id="2" w:name="o13"/>
                  <w:bookmarkEnd w:id="2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складають: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за шкоду, заподіяну майну потерпілих, у розмірі 160 000 гривень на одного потерпілого. У разі якщо загальний розмір шкоди за одним страховим випадком перевищує п’ятикратну страхову суму, відшкодування кожному потерпілому пропорційно зменшується.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o14"/>
                  <w:bookmarkEnd w:id="3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за  шкоду,  заподіяну життю та здоров’ю потерпілих, у розмірі 320 000 гривень на одного потерпілого. Максимальна виплата по одному страховому випадку необмежена.;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Розмір франшизи при відшкодуванні шкоди, заподіяної майну потерпілих, встановлюється при укладанні договору обов'язкового страхування цивільно-правової відповідальності у розмірі 0 грн. Франшиза при відшкодуванні шкоди, заподіяної життю та/або здоров'ю потерпілих, не застосовується.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Наявність філіалу (представництва) в місті Києві, у випадку, якщо учасник зареєстрований в іншому місті України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Страхувальнику надається додаткова послуга «Безкоштовне транспортування пошкодженого транспортного засобу з місця ДТП»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Довідка щодо оцінки діяльності страхової компанії (учасника) згідно даних МТСБУ (</w:t>
                  </w:r>
                  <w:hyperlink r:id="rId2" w:tgtFrame="_blank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http://www.mtsbu.ua/ua/assessment/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за 3 квартал 2023 по всіх показниках на рівні «високий» (зелений колір), а також відсутність у нього заборгованості перед Фондами МТСБУ (дана вимога стосується діяльності страховиків для подальшого забезпечення виконання умов страхування). Довідка МТСБУ про відсутність заборгованості у страховика має бути не більше місячної давнини з дати оголошення закупівлі.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Документ, виданий Національним банком України, за результатами аналізу звітності Учасника за останній звітний період, що підтверджує дотримання Учасником умов забезпечення платоспроможності, передбачених розділом ІІІ Закону України від 07.03.1996 №85/96-ВР «Про страхування» та  відсутність невиконаних заходів впливу.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8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Учасник на підтвердження своєї фінансової надійності повинен надати копію свідоцтва (сертифікату) учасника про присвоєння йому рейтингу фінансової надійності (стійкості), виданого національним рейтинговим агентством, уповноваженим Державною комісією з цінних паперів та фондового ринку, або міжнародним рейтинговим агентством із наданням копії свідоцтва рейтингового агентства про включення його до Державного реєстру уповноважених рейтингових агентств і з зазначенням  рейтингу учасника не нижче uaAА (за національною рейтинговою шкалою) або міжнародного рейтингу фінансової надійності (стійкості) страхової компанії не нижчий за один з таких: «B» (Moody’sInvestorsService), «B» (Standard &amp;Poor’s), «B» (A.M. Best) або «В» (FitchRatings)»,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fill="FFFFFF" w:val="clear"/>
                    </w:rPr>
                    <w:t>що присвоєний  за результатами діяльності страховику в 2023 р. і  відображено у відповідному сертифікаті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4" w:before="0" w:after="16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>
        <w:trPr>
          <w:trHeight w:val="747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 275 (зі змінами)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методом порівняння ринкових цін.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 CYR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21320008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33b3"/>
    <w:pPr>
      <w:widowControl/>
      <w:bidi w:val="0"/>
      <w:spacing w:lineRule="auto" w:line="276" w:before="0" w:after="20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Heading1">
    <w:name w:val="Heading 1"/>
    <w:basedOn w:val="Normal"/>
    <w:link w:val="1"/>
    <w:uiPriority w:val="9"/>
    <w:qFormat/>
    <w:rsid w:val="00175d5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x-none" w:eastAsia="uk-UA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8b35e8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uiPriority w:val="9"/>
    <w:qFormat/>
    <w:rsid w:val="00175d5d"/>
    <w:rPr>
      <w:rFonts w:eastAsia="Times New Roman" w:cs="Times New Roman"/>
      <w:b/>
      <w:bCs/>
      <w:kern w:val="2"/>
      <w:sz w:val="48"/>
      <w:szCs w:val="48"/>
      <w:lang w:eastAsia="uk-UA"/>
    </w:rPr>
  </w:style>
  <w:style w:type="character" w:styleId="Qabuget" w:customStyle="1">
    <w:name w:val="qa_buget"/>
    <w:basedOn w:val="DefaultParagraphFont"/>
    <w:qFormat/>
    <w:rsid w:val="00175d5d"/>
    <w:rPr/>
  </w:style>
  <w:style w:type="character" w:styleId="Qacode" w:customStyle="1">
    <w:name w:val="qa_code"/>
    <w:basedOn w:val="DefaultParagraphFont"/>
    <w:qFormat/>
    <w:rsid w:val="00175d5d"/>
    <w:rPr/>
  </w:style>
  <w:style w:type="character" w:styleId="Style7" w:customStyle="1">
    <w:name w:val="Текст у виносці Знак"/>
    <w:link w:val="BalloonText"/>
    <w:uiPriority w:val="99"/>
    <w:qFormat/>
    <w:rsid w:val="00846ac4"/>
    <w:rPr>
      <w:rFonts w:ascii="Segoe UI" w:hAnsi="Segoe UI" w:cs="Segoe UI"/>
      <w:sz w:val="18"/>
      <w:szCs w:val="18"/>
    </w:rPr>
  </w:style>
  <w:style w:type="character" w:styleId="Hhidden" w:customStyle="1">
    <w:name w:val="h-hidden"/>
    <w:qFormat/>
    <w:rsid w:val="000f15ca"/>
    <w:rPr/>
  </w:style>
  <w:style w:type="character" w:styleId="Hyperlink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b80136"/>
    <w:rPr>
      <w:sz w:val="16"/>
      <w:szCs w:val="16"/>
    </w:rPr>
  </w:style>
  <w:style w:type="character" w:styleId="Style8" w:customStyle="1">
    <w:name w:val="Текст примітки Знак"/>
    <w:link w:val="Annotationtext"/>
    <w:uiPriority w:val="99"/>
    <w:semiHidden/>
    <w:qFormat/>
    <w:rsid w:val="00b80136"/>
    <w:rPr>
      <w:rFonts w:ascii="Calibri" w:hAnsi="Calibri" w:cs="Times New Roman"/>
      <w:lang w:eastAsia="en-US"/>
    </w:rPr>
  </w:style>
  <w:style w:type="character" w:styleId="Style9" w:customStyle="1">
    <w:name w:val="Тема примітки Знак"/>
    <w:link w:val="Annotationsubject"/>
    <w:uiPriority w:val="99"/>
    <w:semiHidden/>
    <w:qFormat/>
    <w:rsid w:val="00b80136"/>
    <w:rPr>
      <w:rFonts w:ascii="Calibri" w:hAnsi="Calibri" w:cs="Times New Roman"/>
      <w:b/>
      <w:bCs/>
      <w:lang w:eastAsia="en-US"/>
    </w:rPr>
  </w:style>
  <w:style w:type="character" w:styleId="Style10" w:customStyle="1">
    <w:name w:val="Без інтервалів Знак"/>
    <w:link w:val="NoSpacing"/>
    <w:qFormat/>
    <w:locked/>
    <w:rsid w:val="005051e6"/>
    <w:rPr>
      <w:rFonts w:ascii="Calibri" w:hAnsi="Calibri" w:cs="Times New Roman"/>
      <w:sz w:val="22"/>
      <w:szCs w:val="22"/>
      <w:lang w:eastAsia="en-US"/>
    </w:rPr>
  </w:style>
  <w:style w:type="character" w:styleId="Style11" w:customStyle="1">
    <w:name w:val="Основний текст Знак"/>
    <w:qFormat/>
    <w:rsid w:val="00d32609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07e51"/>
    <w:rPr>
      <w:b/>
      <w:bCs/>
    </w:rPr>
  </w:style>
  <w:style w:type="character" w:styleId="2" w:customStyle="1">
    <w:name w:val="Заголовок 2 Знак"/>
    <w:uiPriority w:val="9"/>
    <w:qFormat/>
    <w:rsid w:val="008b35e8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Style12" w:customStyle="1">
    <w:name w:val="Абзац списку Знак"/>
    <w:link w:val="ListParagraph"/>
    <w:uiPriority w:val="99"/>
    <w:qFormat/>
    <w:locked/>
    <w:rsid w:val="00b4271d"/>
    <w:rPr>
      <w:rFonts w:eastAsia="Times New Roman" w:cs="Times New Roman"/>
      <w:lang w:eastAsia="ru-RU"/>
    </w:rPr>
  </w:style>
  <w:style w:type="character" w:styleId="Style13" w:customStyle="1">
    <w:name w:val="Верх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character" w:styleId="Style14" w:customStyle="1">
    <w:name w:val="Ниж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link w:val="Style11"/>
    <w:rsid w:val="00d32609"/>
    <w:pPr>
      <w:widowControl w:val="false"/>
      <w:spacing w:lineRule="auto" w:line="240" w:before="0" w:after="120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7"/>
    <w:uiPriority w:val="99"/>
    <w:unhideWhenUsed/>
    <w:qFormat/>
    <w:rsid w:val="00846ac4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Annotationtext">
    <w:name w:val="annotation text"/>
    <w:basedOn w:val="Normal"/>
    <w:link w:val="Style8"/>
    <w:uiPriority w:val="99"/>
    <w:semiHidden/>
    <w:unhideWhenUsed/>
    <w:qFormat/>
    <w:rsid w:val="00b801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9"/>
    <w:uiPriority w:val="99"/>
    <w:semiHidden/>
    <w:unhideWhenUsed/>
    <w:qFormat/>
    <w:rsid w:val="00b80136"/>
    <w:pPr/>
    <w:rPr>
      <w:b/>
      <w:bCs/>
    </w:rPr>
  </w:style>
  <w:style w:type="paragraph" w:styleId="NoSpacing">
    <w:name w:val="No Spacing"/>
    <w:link w:val="Style10"/>
    <w:qFormat/>
    <w:rsid w:val="00df0762"/>
    <w:pPr>
      <w:widowControl/>
      <w:bidi w:val="0"/>
      <w:spacing w:before="0" w:after="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ListParagraph">
    <w:name w:val="List Paragraph"/>
    <w:basedOn w:val="Normal"/>
    <w:link w:val="Style12"/>
    <w:uiPriority w:val="99"/>
    <w:qFormat/>
    <w:rsid w:val="00b4271d"/>
    <w:pPr>
      <w:widowControl w:val="false"/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1" w:customStyle="1">
    <w:name w:val="Абзац списку1"/>
    <w:basedOn w:val="Normal"/>
    <w:qFormat/>
    <w:rsid w:val="00f76ecb"/>
    <w:pPr>
      <w:spacing w:before="0" w:after="0"/>
      <w:ind w:left="720" w:hanging="0"/>
      <w:jc w:val="both"/>
    </w:pPr>
    <w:rPr>
      <w:rFonts w:ascii="Times New Roman" w:hAnsi="Times New Roman"/>
      <w:sz w:val="24"/>
      <w:szCs w:val="24"/>
    </w:rPr>
  </w:style>
  <w:style w:type="paragraph" w:styleId="Style17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3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ітка таблиці1"/>
    <w:basedOn w:val="a1"/>
    <w:uiPriority w:val="39"/>
    <w:rsid w:val="006b6cea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tsbu.ua/ua/assessment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C19E-E441-414B-94A9-A7FAFBF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Collabora_Office/22.05.20.1$Linux_X86_64 LibreOffice_project/bd9263bb6d0222e89e44fbff51d0d094dad8e281</Application>
  <AppVersion>15.0000</AppVersion>
  <Pages>3</Pages>
  <Words>752</Words>
  <Characters>5285</Characters>
  <CharactersWithSpaces>5965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2023-12-14T13:14:00Z</dcterms:created>
  <dc:creator>Людмила М. Дяченко</dc:creator>
  <dc:description/>
  <dc:language>uk-UA</dc:language>
  <cp:lastModifiedBy>User449</cp:lastModifiedBy>
  <cp:lastPrinted>2022-11-30T12:10:00Z</cp:lastPrinted>
  <dcterms:modified xsi:type="dcterms:W3CDTF">2024-01-11T12:02:00Z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