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E620" w14:textId="77777777" w:rsidR="008056F1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15324560" w14:textId="77777777" w:rsidR="008056F1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нерухоме майно, яке пропонуються до передачі</w:t>
      </w:r>
    </w:p>
    <w:p w14:paraId="449C2EFE" w14:textId="77777777" w:rsidR="008056F1" w:rsidRDefault="00805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6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7"/>
        <w:gridCol w:w="3406"/>
        <w:gridCol w:w="2126"/>
        <w:gridCol w:w="287"/>
        <w:gridCol w:w="1556"/>
        <w:gridCol w:w="16"/>
        <w:gridCol w:w="5654"/>
        <w:gridCol w:w="303"/>
        <w:gridCol w:w="1823"/>
      </w:tblGrid>
      <w:tr w:rsidR="008056F1" w14:paraId="2A2313F3" w14:textId="77777777" w:rsidTr="0061264B">
        <w:trPr>
          <w:trHeight w:val="593"/>
        </w:trPr>
        <w:tc>
          <w:tcPr>
            <w:tcW w:w="847" w:type="dxa"/>
            <w:shd w:val="clear" w:color="auto" w:fill="auto"/>
            <w:vAlign w:val="center"/>
          </w:tcPr>
          <w:p w14:paraId="36C3AC2D" w14:textId="77777777" w:rsidR="008056F1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BB11564" w14:textId="77777777" w:rsidR="008056F1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нерухомості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38E450B" w14:textId="77777777" w:rsidR="008056F1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Реєстраційний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номер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3FB74D0" w14:textId="77777777" w:rsidR="008056F1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експлуатацію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0BD23C9" w14:textId="77777777" w:rsidR="008056F1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експлуатаційного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стану майна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3128FC9" w14:textId="77777777" w:rsidR="008056F1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оприлюднення</w:t>
            </w:r>
            <w:proofErr w:type="spellEnd"/>
          </w:p>
        </w:tc>
      </w:tr>
      <w:tr w:rsidR="008056F1" w14:paraId="2B20B461" w14:textId="77777777" w:rsidTr="0061264B">
        <w:trPr>
          <w:trHeight w:val="152"/>
        </w:trPr>
        <w:tc>
          <w:tcPr>
            <w:tcW w:w="847" w:type="dxa"/>
            <w:shd w:val="clear" w:color="auto" w:fill="auto"/>
            <w:vAlign w:val="center"/>
          </w:tcPr>
          <w:p w14:paraId="1EC10EF2" w14:textId="77777777" w:rsidR="008056F1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6F672032" w14:textId="77777777" w:rsidR="008056F1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B068A" w14:textId="77777777" w:rsidR="008056F1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346B705" w14:textId="77777777" w:rsidR="008056F1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AE82151" w14:textId="77777777" w:rsidR="008056F1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6530CD9" w14:textId="77777777" w:rsidR="008056F1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056F1" w14:paraId="1FE13E20" w14:textId="77777777" w:rsidTr="0061264B">
        <w:trPr>
          <w:trHeight w:val="739"/>
        </w:trPr>
        <w:tc>
          <w:tcPr>
            <w:tcW w:w="847" w:type="dxa"/>
            <w:vAlign w:val="bottom"/>
          </w:tcPr>
          <w:p w14:paraId="20B4B506" w14:textId="77777777" w:rsidR="008056F1" w:rsidRDefault="00000000">
            <w:pPr>
              <w:pStyle w:val="caption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bottom"/>
          </w:tcPr>
          <w:p w14:paraId="4F915B1B" w14:textId="77777777" w:rsidR="008056F1" w:rsidRDefault="00000000">
            <w:pPr>
              <w:pStyle w:val="caption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  <w:proofErr w:type="spellEnd"/>
          </w:p>
        </w:tc>
        <w:tc>
          <w:tcPr>
            <w:tcW w:w="11765" w:type="dxa"/>
            <w:gridSpan w:val="7"/>
            <w:vAlign w:val="bottom"/>
          </w:tcPr>
          <w:p w14:paraId="1660EFEE" w14:textId="77777777" w:rsidR="008056F1" w:rsidRDefault="00000000">
            <w:pPr>
              <w:pStyle w:val="caption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Головне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МВС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в 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Києві</w:t>
            </w:r>
            <w:proofErr w:type="spellEnd"/>
          </w:p>
        </w:tc>
      </w:tr>
      <w:tr w:rsidR="008056F1" w14:paraId="784A238E" w14:textId="77777777" w:rsidTr="0061264B">
        <w:trPr>
          <w:trHeight w:val="4111"/>
        </w:trPr>
        <w:tc>
          <w:tcPr>
            <w:tcW w:w="847" w:type="dxa"/>
            <w:vAlign w:val="center"/>
          </w:tcPr>
          <w:p w14:paraId="1F19221A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6" w:type="dxa"/>
            <w:vAlign w:val="center"/>
          </w:tcPr>
          <w:p w14:paraId="223DF612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8-10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літ.Б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14:paraId="3E15D3FA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14:paraId="6671E394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  <w:vAlign w:val="center"/>
          </w:tcPr>
          <w:p w14:paraId="3A3482BA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слідів замокання стін та плит покриття; Пошкодження цілісності вимощення; Відпадання оздоблювальної плитки фасаду; Наявність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горизонтальних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вертикальних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тріщин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стінах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автомобільних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боксів із шириною розкриття до 3 мм; Тріщини у швах між плитами покриття із шириною розкриття до 2 мм; Відшарування оздоблювального шару стін; Механічне пошкодження стін; Експлуатаційний стан оцінюється, як аварійний.</w:t>
            </w:r>
          </w:p>
        </w:tc>
        <w:tc>
          <w:tcPr>
            <w:tcW w:w="2126" w:type="dxa"/>
            <w:gridSpan w:val="2"/>
            <w:vAlign w:val="center"/>
          </w:tcPr>
          <w:p w14:paraId="0B87EADF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8056F1" w14:paraId="2C1407C5" w14:textId="77777777" w:rsidTr="0061264B">
        <w:trPr>
          <w:trHeight w:val="771"/>
        </w:trPr>
        <w:tc>
          <w:tcPr>
            <w:tcW w:w="847" w:type="dxa"/>
            <w:vAlign w:val="center"/>
          </w:tcPr>
          <w:p w14:paraId="4F4307C7" w14:textId="77777777" w:rsidR="008056F1" w:rsidRDefault="00000000">
            <w:pPr>
              <w:pStyle w:val="caption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3406" w:type="dxa"/>
            <w:vAlign w:val="center"/>
          </w:tcPr>
          <w:p w14:paraId="598E4D9C" w14:textId="77777777" w:rsidR="008056F1" w:rsidRDefault="00000000">
            <w:pPr>
              <w:pStyle w:val="caption1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  <w:proofErr w:type="spellEnd"/>
          </w:p>
        </w:tc>
        <w:tc>
          <w:tcPr>
            <w:tcW w:w="11765" w:type="dxa"/>
            <w:gridSpan w:val="7"/>
            <w:vAlign w:val="center"/>
          </w:tcPr>
          <w:p w14:paraId="43443E3A" w14:textId="77777777" w:rsidR="008056F1" w:rsidRDefault="00000000">
            <w:pPr>
              <w:pStyle w:val="caption1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Дніпропетровський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університет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справ</w:t>
            </w:r>
          </w:p>
        </w:tc>
      </w:tr>
      <w:tr w:rsidR="008056F1" w14:paraId="28D50EE7" w14:textId="77777777" w:rsidTr="0061264B">
        <w:trPr>
          <w:trHeight w:val="2145"/>
        </w:trPr>
        <w:tc>
          <w:tcPr>
            <w:tcW w:w="847" w:type="dxa"/>
            <w:vAlign w:val="center"/>
          </w:tcPr>
          <w:p w14:paraId="177ADC19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6" w:type="dxa"/>
            <w:vAlign w:val="center"/>
          </w:tcPr>
          <w:p w14:paraId="5F5A6227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Сховище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опалювальне</w:t>
            </w:r>
            <w:proofErr w:type="spellEnd"/>
          </w:p>
        </w:tc>
        <w:tc>
          <w:tcPr>
            <w:tcW w:w="2126" w:type="dxa"/>
            <w:vAlign w:val="center"/>
          </w:tcPr>
          <w:p w14:paraId="29745F6A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843" w:type="dxa"/>
            <w:gridSpan w:val="2"/>
            <w:vAlign w:val="center"/>
          </w:tcPr>
          <w:p w14:paraId="707D38E6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5670" w:type="dxa"/>
            <w:gridSpan w:val="2"/>
            <w:vAlign w:val="center"/>
          </w:tcPr>
          <w:p w14:paraId="0EFCD621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– стрічковий, з/б зовнішні стіни і з/б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збірні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стаканного типу з/б колони. стіни – з/б стінові панелі, внутрішнє оздоблення – силікатна цегла (зруйноване). З/б стінові панелі руйнуються – відшарування бетонного шару, оголення арматури, руйнування </w:t>
            </w:r>
            <w:r w:rsidRPr="00612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верхніх опорних ділянок для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обв’язувальних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з/б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регілей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заставні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корозіровані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з/б колонах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корозія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Зруйновано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внутрішні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силікатної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Зовнішні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силікатної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іржавих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протікань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зруйновані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шви кладки не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обсязі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заповнені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розчином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ворота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зруйнована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збірних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з/б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ребристих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плит;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покрівля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з/б плитах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протікання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корозія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бетону.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аварійності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14AF6C29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29.01.2021</w:t>
            </w:r>
          </w:p>
        </w:tc>
      </w:tr>
      <w:tr w:rsidR="008056F1" w14:paraId="73BEBAC1" w14:textId="77777777" w:rsidTr="0061264B">
        <w:trPr>
          <w:trHeight w:val="5802"/>
        </w:trPr>
        <w:tc>
          <w:tcPr>
            <w:tcW w:w="847" w:type="dxa"/>
            <w:vAlign w:val="center"/>
          </w:tcPr>
          <w:p w14:paraId="10A97BA1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406" w:type="dxa"/>
            <w:vAlign w:val="center"/>
          </w:tcPr>
          <w:p w14:paraId="50F87C72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Сховище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холодне</w:t>
            </w:r>
            <w:proofErr w:type="spellEnd"/>
          </w:p>
        </w:tc>
        <w:tc>
          <w:tcPr>
            <w:tcW w:w="2126" w:type="dxa"/>
            <w:vAlign w:val="center"/>
          </w:tcPr>
          <w:p w14:paraId="67CAFAA7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843" w:type="dxa"/>
            <w:gridSpan w:val="2"/>
            <w:vAlign w:val="center"/>
          </w:tcPr>
          <w:p w14:paraId="70FEBF51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670" w:type="dxa"/>
            <w:gridSpan w:val="2"/>
            <w:vAlign w:val="center"/>
          </w:tcPr>
          <w:p w14:paraId="77FE80C8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– стрічковий, з/б  зовнішні стіни і з/б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збірні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стаканного типу з/б колони; стіни – з/б стінові панелі; З/б стінові панелі руйнуються – відшарування бетонного шару, корозія арматури і заставних деталей.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з/б колонах, балках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перекриттях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відшарування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шару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корозія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Зруйновано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внутрішні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зовнішні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силікатної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ворота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зруйнована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збірних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з/б плит,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покрівля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з/б плитах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протікання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корозія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бетону.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атмосферні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опади, перепади температур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руйнуються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перекриття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аварійності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799F6A52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8056F1" w14:paraId="4090C95C" w14:textId="77777777" w:rsidTr="0061264B">
        <w:trPr>
          <w:trHeight w:val="3725"/>
        </w:trPr>
        <w:tc>
          <w:tcPr>
            <w:tcW w:w="847" w:type="dxa"/>
            <w:vAlign w:val="center"/>
          </w:tcPr>
          <w:p w14:paraId="770F7EC3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406" w:type="dxa"/>
            <w:vAlign w:val="center"/>
          </w:tcPr>
          <w:p w14:paraId="287EFA66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Казарма</w:t>
            </w:r>
          </w:p>
        </w:tc>
        <w:tc>
          <w:tcPr>
            <w:tcW w:w="2126" w:type="dxa"/>
            <w:vAlign w:val="center"/>
          </w:tcPr>
          <w:p w14:paraId="2A58E2C3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843" w:type="dxa"/>
            <w:gridSpan w:val="2"/>
            <w:vAlign w:val="center"/>
          </w:tcPr>
          <w:p w14:paraId="2F002629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5670" w:type="dxa"/>
            <w:gridSpan w:val="2"/>
          </w:tcPr>
          <w:p w14:paraId="33C4CC23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стрічковий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бетонний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силікатної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тріщини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кладки,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зруйновані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підвіконні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вогкість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зруйнована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збірних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з/б плит,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протікання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Покрівля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з/б плитах видно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протікання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корозію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руйнування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плит.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аварійності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1FD81B01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8056F1" w14:paraId="59DD72E9" w14:textId="77777777" w:rsidTr="0061264B">
        <w:trPr>
          <w:trHeight w:val="4632"/>
        </w:trPr>
        <w:tc>
          <w:tcPr>
            <w:tcW w:w="847" w:type="dxa"/>
            <w:vAlign w:val="center"/>
          </w:tcPr>
          <w:p w14:paraId="0D8999A7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406" w:type="dxa"/>
            <w:vAlign w:val="center"/>
          </w:tcPr>
          <w:p w14:paraId="72D85D3A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Котельня</w:t>
            </w:r>
          </w:p>
        </w:tc>
        <w:tc>
          <w:tcPr>
            <w:tcW w:w="2126" w:type="dxa"/>
            <w:vAlign w:val="center"/>
          </w:tcPr>
          <w:p w14:paraId="717D77CC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843" w:type="dxa"/>
            <w:gridSpan w:val="2"/>
            <w:vAlign w:val="center"/>
          </w:tcPr>
          <w:p w14:paraId="7569C584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5670" w:type="dxa"/>
            <w:gridSpan w:val="2"/>
          </w:tcPr>
          <w:p w14:paraId="75CB5542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стрічковий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бетонний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силікатної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Шви кладки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заповнені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розчином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тріщини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вогкість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зруйнована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збірних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з/б панелей.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Покрівля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з/б панелях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протікання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руйнування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панелями,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корозія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бетону.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руйнування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з/б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ребристої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аварійності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1492AC02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8056F1" w14:paraId="24D7A735" w14:textId="77777777" w:rsidTr="0061264B">
        <w:trPr>
          <w:trHeight w:val="1576"/>
        </w:trPr>
        <w:tc>
          <w:tcPr>
            <w:tcW w:w="847" w:type="dxa"/>
            <w:vAlign w:val="center"/>
          </w:tcPr>
          <w:p w14:paraId="1F8E389A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406" w:type="dxa"/>
            <w:vAlign w:val="center"/>
          </w:tcPr>
          <w:p w14:paraId="2E1E2B43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Лазня</w:t>
            </w:r>
            <w:proofErr w:type="spellEnd"/>
          </w:p>
        </w:tc>
        <w:tc>
          <w:tcPr>
            <w:tcW w:w="2126" w:type="dxa"/>
            <w:vAlign w:val="center"/>
          </w:tcPr>
          <w:p w14:paraId="566E6F79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843" w:type="dxa"/>
            <w:gridSpan w:val="2"/>
            <w:vAlign w:val="center"/>
          </w:tcPr>
          <w:p w14:paraId="65B74F65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5670" w:type="dxa"/>
            <w:gridSpan w:val="2"/>
            <w:vAlign w:val="center"/>
          </w:tcPr>
          <w:p w14:paraId="446DB8BF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стрічковий, бетонний; стіни з повнотілої глиняної червоної цегли з зовнішнім фасадом з силікатної цегли. Шви кладки вивітрені, тріщини, випадання цегли, стіни мокрі, сирі, тріщини в опорній частині з/б перемичок, відшарування штукатурки. Вікна, двері відсутні; підлога зруйнована; дах зі збірних з/б панелей. Покрівля відсутня, на з/б панелях масові протікання, руйнування швів між панелями, корозія арматури та бетону.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аварійності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4055562C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8056F1" w14:paraId="64952FA3" w14:textId="77777777" w:rsidTr="0061264B">
        <w:trPr>
          <w:trHeight w:val="1173"/>
        </w:trPr>
        <w:tc>
          <w:tcPr>
            <w:tcW w:w="847" w:type="dxa"/>
            <w:vAlign w:val="center"/>
          </w:tcPr>
          <w:p w14:paraId="00367233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406" w:type="dxa"/>
            <w:vAlign w:val="center"/>
          </w:tcPr>
          <w:p w14:paraId="43C7CF1E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Сховище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холодне</w:t>
            </w:r>
            <w:proofErr w:type="spellEnd"/>
          </w:p>
        </w:tc>
        <w:tc>
          <w:tcPr>
            <w:tcW w:w="2126" w:type="dxa"/>
            <w:vAlign w:val="center"/>
          </w:tcPr>
          <w:p w14:paraId="63617B67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843" w:type="dxa"/>
            <w:gridSpan w:val="2"/>
            <w:vAlign w:val="center"/>
          </w:tcPr>
          <w:p w14:paraId="2DC80DEA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670" w:type="dxa"/>
            <w:gridSpan w:val="2"/>
          </w:tcPr>
          <w:p w14:paraId="6ECA8845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В наявності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цоколь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сколами,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тріщинами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відшаруванням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бетону.Експлуатаційний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аварійності.</w:t>
            </w:r>
          </w:p>
        </w:tc>
        <w:tc>
          <w:tcPr>
            <w:tcW w:w="2126" w:type="dxa"/>
            <w:gridSpan w:val="2"/>
            <w:vAlign w:val="center"/>
          </w:tcPr>
          <w:p w14:paraId="6ADABD18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8056F1" w14:paraId="5BAA58AE" w14:textId="77777777" w:rsidTr="0061264B">
        <w:trPr>
          <w:trHeight w:val="1173"/>
        </w:trPr>
        <w:tc>
          <w:tcPr>
            <w:tcW w:w="847" w:type="dxa"/>
            <w:vAlign w:val="center"/>
          </w:tcPr>
          <w:p w14:paraId="4A516C09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406" w:type="dxa"/>
            <w:vAlign w:val="center"/>
          </w:tcPr>
          <w:p w14:paraId="30AA7DB9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2126" w:type="dxa"/>
            <w:vAlign w:val="center"/>
          </w:tcPr>
          <w:p w14:paraId="17A5DDA1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843" w:type="dxa"/>
            <w:gridSpan w:val="2"/>
            <w:vAlign w:val="center"/>
          </w:tcPr>
          <w:p w14:paraId="51341E89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5670" w:type="dxa"/>
            <w:gridSpan w:val="2"/>
          </w:tcPr>
          <w:p w14:paraId="57845EAF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Залишилися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фундамент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засипаний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грунтом.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аварійності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0C315584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8056F1" w14:paraId="1D5FEE5A" w14:textId="77777777" w:rsidTr="0061264B">
        <w:trPr>
          <w:trHeight w:val="2236"/>
        </w:trPr>
        <w:tc>
          <w:tcPr>
            <w:tcW w:w="847" w:type="dxa"/>
            <w:vAlign w:val="center"/>
          </w:tcPr>
          <w:p w14:paraId="3119001A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406" w:type="dxa"/>
            <w:vAlign w:val="center"/>
          </w:tcPr>
          <w:p w14:paraId="2725A6B6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Їдальня</w:t>
            </w:r>
            <w:proofErr w:type="spellEnd"/>
          </w:p>
        </w:tc>
        <w:tc>
          <w:tcPr>
            <w:tcW w:w="2126" w:type="dxa"/>
            <w:vAlign w:val="center"/>
          </w:tcPr>
          <w:p w14:paraId="6A794F9C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843" w:type="dxa"/>
            <w:gridSpan w:val="2"/>
            <w:vAlign w:val="center"/>
          </w:tcPr>
          <w:p w14:paraId="4AEFF60D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5670" w:type="dxa"/>
            <w:gridSpan w:val="2"/>
            <w:vAlign w:val="center"/>
          </w:tcPr>
          <w:p w14:paraId="72BF3D84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стрічковий, бетонний.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Засипаний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грунтом,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зростають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рослини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стіни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є лише ділянки стін з силікатної цегли; вікна, двері, підлога та дах відсутня.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аварійності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2DA7E744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8056F1" w14:paraId="6E0E4C40" w14:textId="77777777" w:rsidTr="0061264B">
        <w:trPr>
          <w:trHeight w:val="1724"/>
        </w:trPr>
        <w:tc>
          <w:tcPr>
            <w:tcW w:w="847" w:type="dxa"/>
            <w:vAlign w:val="center"/>
          </w:tcPr>
          <w:p w14:paraId="0447B396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406" w:type="dxa"/>
            <w:vAlign w:val="center"/>
          </w:tcPr>
          <w:p w14:paraId="4DC14082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Житловий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  <w:proofErr w:type="spellEnd"/>
          </w:p>
        </w:tc>
        <w:tc>
          <w:tcPr>
            <w:tcW w:w="2126" w:type="dxa"/>
            <w:vAlign w:val="center"/>
          </w:tcPr>
          <w:p w14:paraId="09D48BDA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843" w:type="dxa"/>
            <w:gridSpan w:val="2"/>
            <w:vAlign w:val="center"/>
          </w:tcPr>
          <w:p w14:paraId="3A05EEC1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5670" w:type="dxa"/>
            <w:gridSpan w:val="2"/>
          </w:tcPr>
          <w:p w14:paraId="10A543AC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теперішній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залишились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сходи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стрічковий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фундамент,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засипаний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ґрунтом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зростаючими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рослинами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21E3FE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аварійності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42345E31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8056F1" w14:paraId="6A3F73C3" w14:textId="77777777" w:rsidTr="0061264B">
        <w:trPr>
          <w:trHeight w:val="1173"/>
        </w:trPr>
        <w:tc>
          <w:tcPr>
            <w:tcW w:w="847" w:type="dxa"/>
            <w:vAlign w:val="center"/>
          </w:tcPr>
          <w:p w14:paraId="359013E9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406" w:type="dxa"/>
            <w:vAlign w:val="center"/>
          </w:tcPr>
          <w:p w14:paraId="73589168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Казарма</w:t>
            </w:r>
          </w:p>
        </w:tc>
        <w:tc>
          <w:tcPr>
            <w:tcW w:w="2126" w:type="dxa"/>
            <w:vAlign w:val="center"/>
          </w:tcPr>
          <w:p w14:paraId="27CF32BA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843" w:type="dxa"/>
            <w:gridSpan w:val="2"/>
            <w:vAlign w:val="center"/>
          </w:tcPr>
          <w:p w14:paraId="52D9CB6E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5670" w:type="dxa"/>
            <w:gridSpan w:val="2"/>
          </w:tcPr>
          <w:p w14:paraId="085E2E34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стрічковий, бетонний; стіни одна з торцевих цегляних стін зруйнована, друга має тріщини та вивітрювання розчину з кладки. З/б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конструкції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каркасу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корозіровані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відбувається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відшарування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захисного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шару бетону; вікна, двері відсутні; підлога </w:t>
            </w:r>
            <w:r w:rsidRPr="00612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зруйнована; дах  двосхилий, зі збірних з/б плит, які масово відсутні.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Покрівля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аварійності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201F424E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29.01.2021</w:t>
            </w:r>
          </w:p>
        </w:tc>
      </w:tr>
      <w:tr w:rsidR="008056F1" w14:paraId="4006F9F0" w14:textId="77777777" w:rsidTr="0061264B">
        <w:trPr>
          <w:trHeight w:val="1173"/>
        </w:trPr>
        <w:tc>
          <w:tcPr>
            <w:tcW w:w="847" w:type="dxa"/>
            <w:vAlign w:val="center"/>
          </w:tcPr>
          <w:p w14:paraId="1F490058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406" w:type="dxa"/>
            <w:vAlign w:val="center"/>
          </w:tcPr>
          <w:p w14:paraId="4E9EF726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Казарма</w:t>
            </w:r>
          </w:p>
        </w:tc>
        <w:tc>
          <w:tcPr>
            <w:tcW w:w="2126" w:type="dxa"/>
            <w:vAlign w:val="center"/>
          </w:tcPr>
          <w:p w14:paraId="437C5C13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843" w:type="dxa"/>
            <w:gridSpan w:val="2"/>
            <w:vAlign w:val="center"/>
          </w:tcPr>
          <w:p w14:paraId="14E514A1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5670" w:type="dxa"/>
            <w:gridSpan w:val="2"/>
          </w:tcPr>
          <w:p w14:paraId="33552228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стрічковий, бетонний; стіни одна з торцевих цегляних стін зруйнована, друга має тріщини та вивітрювання розчину з кладки. З/б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конструкції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каркасу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корозіровані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відбувається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відшарування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>захисного</w:t>
            </w:r>
            <w:proofErr w:type="spellEnd"/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 шару бетону; вікна, двері відсутні; підлога зруйнована; дах  двосхилий, зі збірних з/б плит, які масово відсутні.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Покрівля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аварійності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640C1ED0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8056F1" w14:paraId="5825B115" w14:textId="77777777" w:rsidTr="0061264B">
        <w:trPr>
          <w:trHeight w:val="1560"/>
        </w:trPr>
        <w:tc>
          <w:tcPr>
            <w:tcW w:w="847" w:type="dxa"/>
            <w:vAlign w:val="center"/>
          </w:tcPr>
          <w:p w14:paraId="66AF4700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406" w:type="dxa"/>
            <w:vAlign w:val="center"/>
          </w:tcPr>
          <w:p w14:paraId="6D43AA88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Казарма</w:t>
            </w:r>
          </w:p>
        </w:tc>
        <w:tc>
          <w:tcPr>
            <w:tcW w:w="2126" w:type="dxa"/>
            <w:vAlign w:val="center"/>
          </w:tcPr>
          <w:p w14:paraId="57F213F3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1943842912214</w:t>
            </w:r>
          </w:p>
        </w:tc>
        <w:tc>
          <w:tcPr>
            <w:tcW w:w="1843" w:type="dxa"/>
            <w:gridSpan w:val="2"/>
            <w:vAlign w:val="center"/>
          </w:tcPr>
          <w:p w14:paraId="7CF42485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5670" w:type="dxa"/>
            <w:gridSpan w:val="2"/>
          </w:tcPr>
          <w:p w14:paraId="3D29FAF4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стрічковий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бетонний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силікатної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руйнуються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тріщини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кладки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тріщини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перемичками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зруйнована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збірних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з/б плит,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протікання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Покрівля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аварійності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0E8D2734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8056F1" w14:paraId="27E5F767" w14:textId="77777777" w:rsidTr="0061264B">
        <w:trPr>
          <w:trHeight w:val="1173"/>
        </w:trPr>
        <w:tc>
          <w:tcPr>
            <w:tcW w:w="847" w:type="dxa"/>
            <w:vAlign w:val="center"/>
          </w:tcPr>
          <w:p w14:paraId="39075F80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3406" w:type="dxa"/>
            <w:vAlign w:val="center"/>
          </w:tcPr>
          <w:p w14:paraId="6AE7886A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майстерня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14:paraId="4F693F52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1138102712101</w:t>
            </w:r>
          </w:p>
        </w:tc>
        <w:tc>
          <w:tcPr>
            <w:tcW w:w="1843" w:type="dxa"/>
            <w:gridSpan w:val="2"/>
            <w:vAlign w:val="center"/>
          </w:tcPr>
          <w:p w14:paraId="13AF0D86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670" w:type="dxa"/>
            <w:gridSpan w:val="2"/>
            <w:vAlign w:val="center"/>
          </w:tcPr>
          <w:p w14:paraId="3DA69443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Несучі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огороджувальні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руйнуються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дефекти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пошкодження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Відбудувати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можливо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категорії-технічний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3A92AC3A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</w:tr>
      <w:tr w:rsidR="008056F1" w14:paraId="2FC3D270" w14:textId="77777777" w:rsidTr="0061264B">
        <w:trPr>
          <w:trHeight w:val="1173"/>
        </w:trPr>
        <w:tc>
          <w:tcPr>
            <w:tcW w:w="847" w:type="dxa"/>
            <w:vAlign w:val="center"/>
          </w:tcPr>
          <w:p w14:paraId="3C50E516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406" w:type="dxa"/>
            <w:vAlign w:val="center"/>
          </w:tcPr>
          <w:p w14:paraId="06715F74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П.Т.О.Р.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майстерня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14:paraId="46678C2E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1138102712101</w:t>
            </w:r>
          </w:p>
        </w:tc>
        <w:tc>
          <w:tcPr>
            <w:tcW w:w="1843" w:type="dxa"/>
            <w:gridSpan w:val="2"/>
            <w:vAlign w:val="center"/>
          </w:tcPr>
          <w:p w14:paraId="0D798C8B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670" w:type="dxa"/>
            <w:gridSpan w:val="2"/>
            <w:vAlign w:val="center"/>
          </w:tcPr>
          <w:p w14:paraId="0B115D15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Несучі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огороджувальні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руйнуються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дефекти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пошкодження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Відбудувати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можливо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категорії-технічний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342CA507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</w:tr>
      <w:tr w:rsidR="008056F1" w14:paraId="3D6D9884" w14:textId="77777777" w:rsidTr="0061264B">
        <w:trPr>
          <w:trHeight w:val="1173"/>
        </w:trPr>
        <w:tc>
          <w:tcPr>
            <w:tcW w:w="847" w:type="dxa"/>
            <w:vAlign w:val="center"/>
          </w:tcPr>
          <w:p w14:paraId="066CE4D0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3406" w:type="dxa"/>
            <w:vAlign w:val="center"/>
          </w:tcPr>
          <w:p w14:paraId="1A92B60A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холодний</w:t>
            </w:r>
            <w:proofErr w:type="spellEnd"/>
          </w:p>
        </w:tc>
        <w:tc>
          <w:tcPr>
            <w:tcW w:w="2126" w:type="dxa"/>
            <w:vAlign w:val="center"/>
          </w:tcPr>
          <w:p w14:paraId="095E5323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1138102712101</w:t>
            </w:r>
          </w:p>
        </w:tc>
        <w:tc>
          <w:tcPr>
            <w:tcW w:w="1843" w:type="dxa"/>
            <w:gridSpan w:val="2"/>
            <w:vAlign w:val="center"/>
          </w:tcPr>
          <w:p w14:paraId="02A80D5B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670" w:type="dxa"/>
            <w:gridSpan w:val="2"/>
            <w:vAlign w:val="center"/>
          </w:tcPr>
          <w:p w14:paraId="041512E9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Несучі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огороджувальні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руйнуються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дефекти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пошкодження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Відбудувати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можливо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категорії-технічний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378326A0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</w:tr>
      <w:tr w:rsidR="008056F1" w14:paraId="6A28D5AE" w14:textId="77777777" w:rsidTr="0061264B">
        <w:trPr>
          <w:trHeight w:val="2803"/>
        </w:trPr>
        <w:tc>
          <w:tcPr>
            <w:tcW w:w="847" w:type="dxa"/>
            <w:vAlign w:val="center"/>
          </w:tcPr>
          <w:p w14:paraId="3080C6B0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3406" w:type="dxa"/>
            <w:vAlign w:val="center"/>
          </w:tcPr>
          <w:p w14:paraId="57531365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сховище</w:t>
            </w:r>
            <w:proofErr w:type="spellEnd"/>
          </w:p>
        </w:tc>
        <w:tc>
          <w:tcPr>
            <w:tcW w:w="2126" w:type="dxa"/>
            <w:vAlign w:val="center"/>
          </w:tcPr>
          <w:p w14:paraId="291BF225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1138102712101</w:t>
            </w:r>
          </w:p>
        </w:tc>
        <w:tc>
          <w:tcPr>
            <w:tcW w:w="1843" w:type="dxa"/>
            <w:gridSpan w:val="2"/>
            <w:vAlign w:val="center"/>
          </w:tcPr>
          <w:p w14:paraId="302530DC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670" w:type="dxa"/>
            <w:gridSpan w:val="2"/>
            <w:vAlign w:val="center"/>
          </w:tcPr>
          <w:p w14:paraId="1DD04356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Несучі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огороджувальні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руйнуються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дефекти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пошкодження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Відбудувати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можливо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категорії-технічний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59B404CB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</w:tr>
      <w:tr w:rsidR="008056F1" w14:paraId="719AA788" w14:textId="77777777" w:rsidTr="0061264B">
        <w:trPr>
          <w:trHeight w:hRule="exact" w:val="272"/>
        </w:trPr>
        <w:tc>
          <w:tcPr>
            <w:tcW w:w="847" w:type="dxa"/>
            <w:vAlign w:val="center"/>
          </w:tcPr>
          <w:p w14:paraId="3B9A70AB" w14:textId="77777777" w:rsidR="008056F1" w:rsidRDefault="00000000">
            <w:pPr>
              <w:pStyle w:val="caption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406" w:type="dxa"/>
            <w:vAlign w:val="center"/>
          </w:tcPr>
          <w:p w14:paraId="2EE11EA6" w14:textId="77777777" w:rsidR="008056F1" w:rsidRDefault="00000000">
            <w:pPr>
              <w:pStyle w:val="caption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  <w:proofErr w:type="spellEnd"/>
          </w:p>
        </w:tc>
        <w:tc>
          <w:tcPr>
            <w:tcW w:w="11765" w:type="dxa"/>
            <w:gridSpan w:val="7"/>
            <w:vAlign w:val="center"/>
          </w:tcPr>
          <w:p w14:paraId="0D618792" w14:textId="77777777" w:rsidR="008056F1" w:rsidRDefault="00000000">
            <w:pPr>
              <w:pStyle w:val="caption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Львівський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університет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справ</w:t>
            </w:r>
          </w:p>
        </w:tc>
      </w:tr>
      <w:tr w:rsidR="008056F1" w14:paraId="70CC88E9" w14:textId="77777777" w:rsidTr="0061264B">
        <w:trPr>
          <w:trHeight w:val="1003"/>
        </w:trPr>
        <w:tc>
          <w:tcPr>
            <w:tcW w:w="847" w:type="dxa"/>
            <w:vAlign w:val="center"/>
          </w:tcPr>
          <w:p w14:paraId="5519EEC9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06" w:type="dxa"/>
            <w:vAlign w:val="center"/>
          </w:tcPr>
          <w:p w14:paraId="5EEA81E4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Побутове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вапнярка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3" w:type="dxa"/>
            <w:gridSpan w:val="2"/>
            <w:vAlign w:val="center"/>
          </w:tcPr>
          <w:p w14:paraId="6585DEBE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52213546101</w:t>
            </w:r>
          </w:p>
        </w:tc>
        <w:tc>
          <w:tcPr>
            <w:tcW w:w="1572" w:type="dxa"/>
            <w:gridSpan w:val="2"/>
            <w:vAlign w:val="center"/>
          </w:tcPr>
          <w:p w14:paraId="5BBF13D6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7" w:type="dxa"/>
            <w:gridSpan w:val="2"/>
            <w:vMerge w:val="restart"/>
            <w:vAlign w:val="center"/>
          </w:tcPr>
          <w:p w14:paraId="4C68D966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4B">
              <w:rPr>
                <w:rFonts w:ascii="Times New Roman" w:hAnsi="Times New Roman" w:cs="Times New Roman"/>
                <w:sz w:val="28"/>
                <w:szCs w:val="28"/>
              </w:rPr>
              <w:t xml:space="preserve">Відхилення від проектних характеристик міцності матеріалів несучих конструкцій </w:t>
            </w:r>
            <w:r w:rsidRPr="00612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виявлені на 50% в бік зниження; Несучі конструкції будівлі Г-1 та Д знаходяться в аварійному стані; В цілому будівлі знаходяться у ветхому стані зі зношенням більше 85% і потребують повного демонтажу</w:t>
            </w:r>
          </w:p>
        </w:tc>
        <w:tc>
          <w:tcPr>
            <w:tcW w:w="1823" w:type="dxa"/>
            <w:vAlign w:val="center"/>
          </w:tcPr>
          <w:p w14:paraId="6D690408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29.04.2021</w:t>
            </w:r>
          </w:p>
        </w:tc>
      </w:tr>
      <w:tr w:rsidR="008056F1" w14:paraId="71A568F7" w14:textId="77777777" w:rsidTr="0061264B">
        <w:trPr>
          <w:trHeight w:val="1786"/>
        </w:trPr>
        <w:tc>
          <w:tcPr>
            <w:tcW w:w="847" w:type="dxa"/>
            <w:vAlign w:val="center"/>
          </w:tcPr>
          <w:p w14:paraId="71AD42F6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406" w:type="dxa"/>
            <w:vAlign w:val="center"/>
          </w:tcPr>
          <w:p w14:paraId="1EEEBC00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Побутове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14:paraId="47AEFD61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52213546101</w:t>
            </w:r>
          </w:p>
        </w:tc>
        <w:tc>
          <w:tcPr>
            <w:tcW w:w="1572" w:type="dxa"/>
            <w:gridSpan w:val="2"/>
            <w:vAlign w:val="center"/>
          </w:tcPr>
          <w:p w14:paraId="1F3B409E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7" w:type="dxa"/>
            <w:gridSpan w:val="2"/>
            <w:vMerge/>
            <w:vAlign w:val="center"/>
          </w:tcPr>
          <w:p w14:paraId="3F2AA0BA" w14:textId="77777777" w:rsidR="008056F1" w:rsidRDefault="008056F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14:paraId="6164C34E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</w:tr>
      <w:tr w:rsidR="008056F1" w14:paraId="16CC8628" w14:textId="77777777" w:rsidTr="0061264B">
        <w:trPr>
          <w:trHeight w:val="3087"/>
        </w:trPr>
        <w:tc>
          <w:tcPr>
            <w:tcW w:w="847" w:type="dxa"/>
            <w:vAlign w:val="center"/>
          </w:tcPr>
          <w:p w14:paraId="71B8BF91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406" w:type="dxa"/>
            <w:vAlign w:val="center"/>
          </w:tcPr>
          <w:p w14:paraId="579A16FC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дощата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14:paraId="4D709E62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2"/>
            <w:vAlign w:val="center"/>
          </w:tcPr>
          <w:p w14:paraId="7478F176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7" w:type="dxa"/>
            <w:gridSpan w:val="2"/>
            <w:vAlign w:val="center"/>
          </w:tcPr>
          <w:p w14:paraId="5ED4303B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обстежені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несучі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огороджувальні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дощатого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паркану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знаходяться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аварійному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ветхому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зношення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За результатами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повірочних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розрахунків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міцності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інструментального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обстеження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непридатний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подальшого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підлягає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демонтажу,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утилізації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3" w:type="dxa"/>
            <w:vAlign w:val="center"/>
          </w:tcPr>
          <w:p w14:paraId="0D4B24B9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</w:tr>
      <w:tr w:rsidR="008056F1" w14:paraId="3E4D3082" w14:textId="77777777" w:rsidTr="0061264B">
        <w:trPr>
          <w:trHeight w:val="738"/>
        </w:trPr>
        <w:tc>
          <w:tcPr>
            <w:tcW w:w="847" w:type="dxa"/>
            <w:vAlign w:val="center"/>
          </w:tcPr>
          <w:p w14:paraId="3F4361CE" w14:textId="77777777" w:rsidR="008056F1" w:rsidRDefault="00000000">
            <w:pPr>
              <w:pStyle w:val="caption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3406" w:type="dxa"/>
            <w:vAlign w:val="center"/>
          </w:tcPr>
          <w:p w14:paraId="170BFB4C" w14:textId="77777777" w:rsidR="008056F1" w:rsidRDefault="00000000">
            <w:pPr>
              <w:pStyle w:val="caption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  <w:proofErr w:type="spellEnd"/>
          </w:p>
        </w:tc>
        <w:tc>
          <w:tcPr>
            <w:tcW w:w="11765" w:type="dxa"/>
            <w:gridSpan w:val="7"/>
            <w:vAlign w:val="center"/>
          </w:tcPr>
          <w:p w14:paraId="41B455D2" w14:textId="77777777" w:rsidR="008056F1" w:rsidRDefault="00000000">
            <w:pPr>
              <w:pStyle w:val="caption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Медичний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реабілітаційний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центр МВС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«Перлина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Прикарпаття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»</w:t>
            </w:r>
          </w:p>
        </w:tc>
      </w:tr>
      <w:tr w:rsidR="008056F1" w14:paraId="62B43A15" w14:textId="77777777" w:rsidTr="0061264B">
        <w:trPr>
          <w:trHeight w:val="1890"/>
        </w:trPr>
        <w:tc>
          <w:tcPr>
            <w:tcW w:w="847" w:type="dxa"/>
            <w:vAlign w:val="center"/>
          </w:tcPr>
          <w:p w14:paraId="324AAF30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06" w:type="dxa"/>
            <w:vAlign w:val="center"/>
          </w:tcPr>
          <w:p w14:paraId="762F949C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Житловий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14:paraId="1A650C27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3133436</w:t>
            </w:r>
          </w:p>
        </w:tc>
        <w:tc>
          <w:tcPr>
            <w:tcW w:w="1572" w:type="dxa"/>
            <w:gridSpan w:val="2"/>
            <w:vAlign w:val="center"/>
          </w:tcPr>
          <w:p w14:paraId="318FE1CD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5957" w:type="dxa"/>
            <w:gridSpan w:val="2"/>
          </w:tcPr>
          <w:p w14:paraId="77D640B3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висновку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обстеження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об’єкту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1950р.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перебуває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4-му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аварійному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дозволяє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подальшу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3" w:type="dxa"/>
            <w:vAlign w:val="center"/>
          </w:tcPr>
          <w:p w14:paraId="717CFAF3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</w:tc>
      </w:tr>
      <w:tr w:rsidR="008056F1" w14:paraId="1B023B43" w14:textId="77777777" w:rsidTr="0061264B">
        <w:trPr>
          <w:trHeight w:val="1007"/>
        </w:trPr>
        <w:tc>
          <w:tcPr>
            <w:tcW w:w="847" w:type="dxa"/>
            <w:vAlign w:val="center"/>
          </w:tcPr>
          <w:p w14:paraId="37251092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406" w:type="dxa"/>
            <w:vAlign w:val="center"/>
          </w:tcPr>
          <w:p w14:paraId="23F97BD2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Житловий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14:paraId="350FE568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1433003846115</w:t>
            </w:r>
          </w:p>
        </w:tc>
        <w:tc>
          <w:tcPr>
            <w:tcW w:w="1572" w:type="dxa"/>
            <w:gridSpan w:val="2"/>
            <w:vAlign w:val="center"/>
          </w:tcPr>
          <w:p w14:paraId="3DE09083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5957" w:type="dxa"/>
            <w:gridSpan w:val="2"/>
          </w:tcPr>
          <w:p w14:paraId="6B14C13C" w14:textId="77777777" w:rsidR="008056F1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висновку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обстеження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об’єкту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1961р.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перебуває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4-му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аварійному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дозволяє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подальшу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експлуатацію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3" w:type="dxa"/>
            <w:vAlign w:val="center"/>
          </w:tcPr>
          <w:p w14:paraId="16461E39" w14:textId="77777777" w:rsidR="008056F1" w:rsidRDefault="00000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</w:tc>
      </w:tr>
    </w:tbl>
    <w:p w14:paraId="3FA848EA" w14:textId="77777777" w:rsidR="008056F1" w:rsidRDefault="008056F1" w:rsidP="0055104D">
      <w:pPr>
        <w:rPr>
          <w:rFonts w:ascii="Times New Roman" w:hAnsi="Times New Roman" w:cs="Times New Roman"/>
          <w:sz w:val="28"/>
          <w:szCs w:val="28"/>
        </w:rPr>
      </w:pPr>
    </w:p>
    <w:sectPr w:rsidR="008056F1">
      <w:pgSz w:w="16838" w:h="11906" w:orient="landscape"/>
      <w:pgMar w:top="1417" w:right="850" w:bottom="283" w:left="39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F1"/>
    <w:rsid w:val="0055104D"/>
    <w:rsid w:val="0061264B"/>
    <w:rsid w:val="0080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DFB9"/>
  <w15:docId w15:val="{0A7E3754-EDB6-4AB3-881A-34BC2398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Theme="minorEastAsia" w:hAnsi="Calibri" w:cs="Arial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qFormat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qFormat/>
    <w:rPr>
      <w:sz w:val="24"/>
      <w:szCs w:val="24"/>
    </w:rPr>
  </w:style>
  <w:style w:type="character" w:customStyle="1" w:styleId="a7">
    <w:name w:val="Цитата Знак"/>
    <w:link w:val="a8"/>
    <w:uiPriority w:val="29"/>
    <w:qFormat/>
    <w:rPr>
      <w:i/>
    </w:rPr>
  </w:style>
  <w:style w:type="character" w:customStyle="1" w:styleId="a9">
    <w:name w:val="Насичена цитата Знак"/>
    <w:link w:val="aa"/>
    <w:uiPriority w:val="30"/>
    <w:qFormat/>
    <w:rPr>
      <w:i/>
    </w:rPr>
  </w:style>
  <w:style w:type="character" w:customStyle="1" w:styleId="ab">
    <w:name w:val="Верхній колонтитул Знак"/>
    <w:basedOn w:val="a0"/>
    <w:link w:val="ac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d">
    <w:name w:val="Нижній колонтитул Знак"/>
    <w:link w:val="ae"/>
    <w:uiPriority w:val="99"/>
    <w:qFormat/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character" w:customStyle="1" w:styleId="af0">
    <w:name w:val="Текст виноски Знак"/>
    <w:link w:val="af1"/>
    <w:uiPriority w:val="99"/>
    <w:qFormat/>
    <w:rPr>
      <w:sz w:val="18"/>
    </w:rPr>
  </w:style>
  <w:style w:type="character" w:customStyle="1" w:styleId="af2">
    <w:name w:val="Символи виноски"/>
    <w:uiPriority w:val="99"/>
    <w:unhideWhenUsed/>
    <w:qFormat/>
    <w:rPr>
      <w:vertAlign w:val="superscript"/>
    </w:rPr>
  </w:style>
  <w:style w:type="character" w:styleId="af3">
    <w:name w:val="footnote reference"/>
    <w:rPr>
      <w:vertAlign w:val="superscript"/>
    </w:rPr>
  </w:style>
  <w:style w:type="character" w:customStyle="1" w:styleId="af4">
    <w:name w:val="Текст кінцевої виноски Знак"/>
    <w:link w:val="af5"/>
    <w:uiPriority w:val="99"/>
    <w:qFormat/>
    <w:rPr>
      <w:sz w:val="20"/>
    </w:rPr>
  </w:style>
  <w:style w:type="character" w:customStyle="1" w:styleId="af6">
    <w:name w:val="Символи кінцевої виноски"/>
    <w:uiPriority w:val="99"/>
    <w:semiHidden/>
    <w:unhideWhenUsed/>
    <w:qFormat/>
    <w:rPr>
      <w:vertAlign w:val="superscript"/>
    </w:rPr>
  </w:style>
  <w:style w:type="character" w:styleId="af7">
    <w:name w:val="endnote reference"/>
    <w:rPr>
      <w:vertAlign w:val="superscript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Carlito" w:eastAsia="Noto Sans CJK SC" w:hAnsi="Carlito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fc">
    <w:name w:val="Покажчик"/>
    <w:basedOn w:val="a"/>
    <w:qFormat/>
    <w:pPr>
      <w:suppressLineNumbers/>
    </w:pPr>
    <w:rPr>
      <w:rFonts w:cs="Noto Sans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3"/>
    <w:uiPriority w:val="10"/>
    <w:qFormat/>
    <w:pPr>
      <w:spacing w:before="3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paragraph" w:styleId="a8">
    <w:name w:val="Quote"/>
    <w:basedOn w:val="a"/>
    <w:next w:val="a"/>
    <w:link w:val="a7"/>
    <w:uiPriority w:val="29"/>
    <w:qFormat/>
    <w:pPr>
      <w:ind w:left="720" w:right="720"/>
    </w:pPr>
    <w:rPr>
      <w:i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e">
    <w:name w:val="Верхній і нижній колонтитули"/>
    <w:basedOn w:val="a"/>
    <w:qFormat/>
  </w:style>
  <w:style w:type="paragraph" w:styleId="ac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caption11">
    <w:name w:val="caption11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paragraph" w:styleId="af1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customStyle="1" w:styleId="indexheading1">
    <w:name w:val="index heading1"/>
    <w:basedOn w:val="af8"/>
    <w:qFormat/>
  </w:style>
  <w:style w:type="paragraph" w:styleId="aff">
    <w:name w:val="index heading"/>
    <w:basedOn w:val="af8"/>
  </w:style>
  <w:style w:type="paragraph" w:styleId="aff0">
    <w:name w:val="TOC Heading"/>
    <w:uiPriority w:val="39"/>
    <w:unhideWhenUsed/>
    <w:qFormat/>
    <w:pPr>
      <w:spacing w:after="160" w:line="259" w:lineRule="auto"/>
    </w:pPr>
  </w:style>
  <w:style w:type="paragraph" w:styleId="aff1">
    <w:name w:val="table of figures"/>
    <w:basedOn w:val="a"/>
    <w:next w:val="a"/>
    <w:uiPriority w:val="99"/>
    <w:unhideWhenUsed/>
    <w:qFormat/>
    <w:pPr>
      <w:spacing w:after="0"/>
    </w:pPr>
  </w:style>
  <w:style w:type="paragraph" w:styleId="aff2">
    <w:name w:val="No Spacing"/>
    <w:uiPriority w:val="1"/>
    <w:qFormat/>
  </w:style>
  <w:style w:type="paragraph" w:styleId="aff3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f4">
    <w:name w:val="Вміст таблиці"/>
    <w:basedOn w:val="a"/>
    <w:qFormat/>
    <w:pPr>
      <w:widowControl w:val="0"/>
      <w:suppressLineNumbers/>
    </w:pPr>
  </w:style>
  <w:style w:type="paragraph" w:customStyle="1" w:styleId="aff5">
    <w:name w:val="Заголовок таблиці"/>
    <w:basedOn w:val="aff4"/>
    <w:qFormat/>
    <w:pPr>
      <w:jc w:val="center"/>
    </w:pPr>
    <w:rPr>
      <w:b/>
      <w:bCs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sz w:val="22"/>
      </w:rPr>
      <w:tblPr/>
      <w:tcPr>
        <w:shd w:val="clear" w:color="4472C4" w:fill="4472C4" w:themeFill="accent1"/>
      </w:tcPr>
    </w:tblStylePr>
    <w:tblStylePr w:type="lastCol">
      <w:rPr>
        <w:b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sz w:val="22"/>
      </w:rPr>
      <w:tblPr/>
      <w:tcPr>
        <w:shd w:val="clear" w:color="5B9BD5" w:fill="5B9BD5" w:themeFill="accent5"/>
      </w:tcPr>
    </w:tblStylePr>
    <w:tblStylePr w:type="lastCol">
      <w:rPr>
        <w:b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6">
    <w:name w:val="Table Grid"/>
    <w:basedOn w:val="a1"/>
    <w:uiPriority w:val="59"/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0C88-2D7E-48FF-B416-975E597F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Бєлінська</dc:creator>
  <dc:description/>
  <cp:lastModifiedBy>Соколик Ольга</cp:lastModifiedBy>
  <cp:revision>18</cp:revision>
  <dcterms:created xsi:type="dcterms:W3CDTF">2023-11-14T15:50:00Z</dcterms:created>
  <dcterms:modified xsi:type="dcterms:W3CDTF">2024-01-11T08:52:00Z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653c488c-a62b-487a-975b-98a4df321f4f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2023-09-25T09:04:03Z</vt:lpwstr>
  </property>
  <property fmtid="{D5CDD505-2E9C-101B-9397-08002B2CF9AE}" pid="8" name="MSIP_Label_defa4170-0d19-0005-0004-bc88714345d2_SiteId">
    <vt:lpwstr>269ae716-e3ac-43c3-afed-32aac9da268f</vt:lpwstr>
  </property>
</Properties>
</file>