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інше майно, яке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4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2"/>
        <w:gridCol w:w="2009"/>
        <w:gridCol w:w="1363"/>
        <w:gridCol w:w="6132"/>
        <w:gridCol w:w="1894"/>
      </w:tblGrid>
      <w:tr>
        <w:trPr>
          <w:jc w:val="center"/>
          <w:trHeight w:val="59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випуску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оприлюднення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Харківській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Автоматизована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балістична інформаційна система ТАІС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101460186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Внаслідок експлуатації має наступні пошкодження: несправність серверу (несправність материнської плати, несправність накопичувач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ів на дисках, несправність процесора, несправність монітору); несправність чотирьох автоматизованих робочих місць (несправність материнських плат, несправність накопичувачів на дисках, несправність процесорів, несправність моніторів, несправність цифрових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макро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-камер сканерів, несправність відеокарт вводу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макрокамер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сканерів); несправність робочого місця адміністратора (несправність материнської плати, несправність накопичувача на дисках, несправність процесора, несправність монітору).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Державне підприємство «ІНФОТЕХ»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Станок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Зетаконд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» 703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104-DP53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ремонт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не підлягає. Потребують заміни несправні деталі. комплектуючі є застарілого типу Вузли та деталі, придатні для подальшого використання відсутні. Вийшли з ладу складові обладнання внаслідок спрацювання експлуатаційного ресурсу та інтенсивної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Маш.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Офсетно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РО-62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104-DP73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ремонту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 підлягає. Потребують заміни несправні деталі. комплектуючі є застарілого типу. Вузли та деталі, придатні для подальшого використання відсутні. Вийшли з ладу складові обладнання внаслідок спрацювання експлуатаційного ресурсу та інтенсивної експлуатації.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Київський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Спектрофометр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LAMBDA -25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101430054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під час діагностики виявлено несправність плати керування, вихід з ладу плати детекторів, деградація дейтерієвої лампи.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Вінницький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123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Автоматизована балістична інформатизована система ТАІС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101450033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6132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під час діагностики виявлено наступні неполадки: сервер HP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Proliant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DL 180 G6 2x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Intel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Xeon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X5650 12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Gb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несправність системи плати – електричний пробій мікросхеми південного моста, вигоряння провідникової доріжки, що біля USB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несправність блоку живлення – електричний пробій діодів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шоткі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загальним катодом у колі випрямляча вихідної напруги, заклинений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кулер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системний блок HP xw4600 Workstation,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Intel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Core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DuoCPU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E6500,. 1Gb – несправність блоку живлення – електричний пробій в схе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 чергового живлення, висохли високовольтні електричні конденсатори у схемі випрямляча мережевої напруги, деформація корпусу; згорів блок живлення, втрата ємкості конденсаторів, вихід з ладу 3х фазної схеми стабілізації живлення процесору, системний блок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Intel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Pentium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Dual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Core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E5400 2.70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Ghz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2Gb – несправність системної плати, електричний пробій мікросхеми південного моста, вигоряння провідникової доріжки, що біля USB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несправність блоку живлення – електричний пробій діодів;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шоткі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загальним катодом у колі випрямляча вихідної напруги, заклинений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кулер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Значна кількість пошкоджених секторів накопичувача жорсткого диску із-за подряпин на магнітній поверхні, привід DVD не зчитує дані з оптичних дисків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підсівший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лазерний діод оптичного модуля приводу внаслідок тривалої експлуатації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151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850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Хроматограф газовий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Crystal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5000.2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101430072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6132" w:type="dxa"/>
            <w:vMerge w:val="restart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пристрої для  проведення інсталяції газового хроматографа та його запуску необхідно провести наступ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ні роботи: зовнішнє очищення приладу та всіх складових і компонентів, чистка та профілактика детекторів, чищення з монтажем та демонтажем інжектора, очищення газових ліній, інсталяційне під’єднання газової фурнітури; запуск генератора водню, запуск повітря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ного компресора, встановлення та під’єднання системи фільтрів, регенерацію фільтрів генератора водню, заміна компонентів ГХ нагрівача детектора, який вийшов з ладу, нагрівача термостата колонки, заміна витратних матеріалів, з’єднання з системою управління.</w:t>
            </w:r>
            <w:r/>
          </w:p>
        </w:tc>
        <w:tc>
          <w:tcPr>
            <w:shd w:val="clear" w:color="auto" w:fill="auto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24.02.2021</w:t>
            </w:r>
            <w:r/>
          </w:p>
        </w:tc>
      </w:tr>
      <w:tr>
        <w:trPr>
          <w:jc w:val="center"/>
          <w:trHeight w:val="848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vMerge w:val="continue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«Хутір Вільний»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Котел НІІСТ-у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101480054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 з ладу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колектра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екранів, екранні труби мають інтенсивну зношеність.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«Південний Буг»</w:t>
            </w:r>
            <w:r/>
          </w:p>
        </w:tc>
      </w:tr>
      <w:tr>
        <w:trPr>
          <w:jc w:val="center"/>
          <w:trHeight w:val="127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Котел АCV CA-300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(виробник Бельгія)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10142-0025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left="-102" w:right="-144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Технічно справний. Стан котла задовільний. Потужність котла АCV CA-300 (349 кВт).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6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Державна установа «Центр обслуговування підрозділів Міністерства внутрішніх справ України»</w:t>
            </w:r>
            <w:r/>
          </w:p>
        </w:tc>
      </w:tr>
      <w:tr>
        <w:trPr>
          <w:jc w:val="center"/>
          <w:trHeight w:val="242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Кондиціонер з вертикальною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подачею до виносних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101482353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В пристрої внаслідок інтенсивної експлуатації зношені деталі, не підтримує температурний режим. 100% знос. Морально застарілий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1637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7.2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Кондиціонер з вертикальною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подачею до виносних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101482354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В пристрої внаслідок інтенсивної експлуатації зношені деталі, не підтримує температурний режим. 100% знос. Морально застарілий.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1637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Вимірювальний комплекс НР-8935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101430036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Значні похибки при вимірюванні параметрів.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Харківський національний університет внутрішніх справ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br/>
              <w:t xml:space="preserve">(Кременчуцький льотний коледж )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Тренажер Мі-8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виріб.475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101411910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1983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тренажері відпрацьований амо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ртизаційний термін експлуатації. Тренажер морально застарілий та фізично зношений. Навігаційне обладнання технічно несправне, блок управління контролем зношений, щиток сигналізації, імітатор візуального оточення, електрообладнання, випрямний агрегат ВАКС,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гідроакумулятори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гідронасосної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станції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зношені та технічно несправні.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945" w:leader="none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646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8.2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Тренажер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 xml:space="preserve">КТВ Мі-8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101411909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1988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Тренажер технічно несправний. Унаслідок тривалої експлуатації тренажер неукомплектований. Стан тренажера -вертольоту не дозволяє його подальшу експлуатацію за призначенням. Імітатор показника висоти, блок управління контролем,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щиток сигналізації відключення систем, щиток імітатор візуального оточення, випрямний агрегат ВАКС, електрообладнання,  гідроакумулятори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гідронасосної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станції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Волна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зношені та технічно несправні.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29.04.2021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Тернопільський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9.1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Автоматичний інжектор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Agilent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/HP для газового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хроматографа 6890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Autosampler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Nower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7683 G1513A/G2613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101480094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Пристрій технічно несправний. На даний час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 використовується, оскільки за своїми технічними параметрами є комплектуючою частиною лише для моделі газового 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роматографа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Agilent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6890 (модель G 1530A).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31.08.2021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«Головний медичний центр Міністерства внутрішніх справ України»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Каток для прасування D1 (1800/4)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101620107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ладу комплектуючі: інвертор частоти, плата керування, датчик температури та прасувальні стрічки.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Черкаський науково – 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Рідинний хроматограф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(персональний комп’ютером з монітором СБ № 5508521)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101450019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У пристрої вийшли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ладу насос, термостат,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інжектор,детектор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манометр та колонка.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30.11.2021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Рівненський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23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ИК-Фур'є спектрометр FT/IR-4200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Jasco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10145-0042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Пристрій технічно не справний, внаслідок тривалої експлуатації та природного старіння подальше його використання є неможливим. Під час ретельного обстеження встановлено відсутність подачі сигналу інтерферометра на детектор. Ремонт приладу не доцільний.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02.08.2022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Івано-Франківський науково-дослідний експертно-криміналістичний центр МВС України</w:t>
            </w:r>
            <w:r/>
          </w:p>
        </w:tc>
      </w:tr>
      <w:tr>
        <w:trPr>
          <w:jc w:val="center"/>
          <w:trHeight w:val="4077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Газовий хроматограф Кристал 2000М зав. № 5265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101450017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Несправні та потребують заміни регулятор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и розходу газу (5 шт.). Нестабільність роботи приладу, неможливість повного відновлення працездатності через інтенсивну експлуатацію та вік приладу. Неможливість проведення ремонту через відсутність витратних матеріалів, так як прилад виробництва ЗАО «СКБ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Хроматєк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» м. Йошкар-Ола, республіки Марій Ел,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росія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Прилад морально та технічно застарілий, дорогоцінних металів не містить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right="34" w:firstLine="40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12.06.2023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Головний сервісний центр МВС. Регіональний сервісний центр ГСЦ МВС в Черкаській області (філія ГСЦ МВС)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Котел твердопаливний «Кобзар НГ-60» з блоком керування «АСК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Мікротех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10141-0006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35"/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Досягнення граничного стану прогару поверхні нагріву.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4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«Перлина Прикарпаття»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Пароконвектомат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CPF/110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10148-0387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Вийшли з ладу нагрівальні елементи та плата керування; ущільнення дверей порване та пересушене; корпус приладу зношений; розбите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скло дверей. Виріб не відповідає нормативній документації.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16.2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Пароконвектомат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CPE/106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10148-0871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Вийшов з ладу бойлер, ушкоджена плата керування; вийшли з ладу двигун конвекції та вентилятор; пошкоджений ущільнювач дверей. Виріб не відповідає нормативній документації.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84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9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Казенне наукове-вироб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ниче підприємство 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Форт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МВС Укр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аїни</w:t>
            </w:r>
            <w:r/>
          </w:p>
        </w:tc>
      </w:tr>
      <w:tr>
        <w:trPr>
          <w:jc w:val="center"/>
          <w:trHeight w:val="107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Модуль гнучкий виробничий спеціальний моделі ИР-200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4100544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1988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-37"/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Верстат знаходиться в несправному та не  працездатному стані, фізично зношений та морально застарілий. На верстаті несправний датчик орієнтації столу, система зміни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палет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 гідравлічна система, система ЧПК.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31.10.2023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107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18.2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Станок фрезерний з ЧПУ моделі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CNC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4100617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1997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-37"/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Верстат знаходиться в несправному та не  працездатному стані, фізично зношений та морально застарілий. На верстаті несправні двигуни 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енкодери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вісям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 суттєво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зношеніі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напрямні, потребують заміни підшипники та ШВП, стійка ЧПК несправна.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31.10.2023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107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18.3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96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Станок фрезерний з ЧПУ моделі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CNC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009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4100618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1997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32" w:type="dxa"/>
            <w:vAlign w:val="center"/>
            <w:textDirection w:val="lrTb"/>
            <w:noWrap w:val="false"/>
          </w:tcPr>
          <w:p>
            <w:pPr>
              <w:ind w:right="-37"/>
              <w:jc w:val="both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Верстат знаходиться в несправному та не  працездатному стані, фізично зношений та морально застарілий. На верстаті несправні двигуни та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енкодери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вісям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 суттєво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зношеніі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напрямні, потребують заміни підшипники та ШВП, стійка ЧПК несправна.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31.10.2023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850" w:bottom="142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637">
    <w:name w:val="Heading 1"/>
    <w:basedOn w:val="636"/>
    <w:next w:val="636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basedOn w:val="646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Heading 2 Char"/>
    <w:basedOn w:val="646"/>
    <w:uiPriority w:val="9"/>
    <w:rPr>
      <w:rFonts w:ascii="Arial" w:hAnsi="Arial" w:eastAsia="Arial" w:cs="Arial"/>
      <w:sz w:val="34"/>
    </w:rPr>
  </w:style>
  <w:style w:type="character" w:styleId="651" w:customStyle="1">
    <w:name w:val="Heading 3 Char"/>
    <w:basedOn w:val="646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Heading 4 Char"/>
    <w:basedOn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Heading 5 Char"/>
    <w:basedOn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Heading 6 Char"/>
    <w:basedOn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Heading 7 Char"/>
    <w:basedOn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Heading 8 Char"/>
    <w:basedOn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Heading 9 Char"/>
    <w:basedOn w:val="646"/>
    <w:uiPriority w:val="9"/>
    <w:rPr>
      <w:rFonts w:ascii="Arial" w:hAnsi="Arial" w:eastAsia="Arial" w:cs="Arial"/>
      <w:i/>
      <w:iCs/>
      <w:sz w:val="21"/>
      <w:szCs w:val="21"/>
    </w:rPr>
  </w:style>
  <w:style w:type="character" w:styleId="658" w:customStyle="1">
    <w:name w:val="Title Char"/>
    <w:basedOn w:val="646"/>
    <w:uiPriority w:val="10"/>
    <w:rPr>
      <w:sz w:val="48"/>
      <w:szCs w:val="48"/>
    </w:rPr>
  </w:style>
  <w:style w:type="character" w:styleId="659" w:customStyle="1">
    <w:name w:val="Subtitle Char"/>
    <w:basedOn w:val="646"/>
    <w:uiPriority w:val="11"/>
    <w:rPr>
      <w:sz w:val="24"/>
      <w:szCs w:val="24"/>
    </w:rPr>
  </w:style>
  <w:style w:type="character" w:styleId="660" w:customStyle="1">
    <w:name w:val="Quote Char"/>
    <w:uiPriority w:val="29"/>
    <w:rPr>
      <w:i/>
    </w:rPr>
  </w:style>
  <w:style w:type="character" w:styleId="661" w:customStyle="1">
    <w:name w:val="Intense Quote Char"/>
    <w:uiPriority w:val="30"/>
    <w:rPr>
      <w:i/>
    </w:rPr>
  </w:style>
  <w:style w:type="character" w:styleId="662" w:customStyle="1">
    <w:name w:val="Header Char"/>
    <w:basedOn w:val="646"/>
    <w:uiPriority w:val="99"/>
  </w:style>
  <w:style w:type="character" w:styleId="663" w:customStyle="1">
    <w:name w:val="Caption Char"/>
    <w:uiPriority w:val="99"/>
  </w:style>
  <w:style w:type="character" w:styleId="664" w:customStyle="1">
    <w:name w:val="Footnote Text Char"/>
    <w:uiPriority w:val="99"/>
    <w:rPr>
      <w:sz w:val="18"/>
    </w:rPr>
  </w:style>
  <w:style w:type="character" w:styleId="665" w:customStyle="1">
    <w:name w:val="Endnote Text Char"/>
    <w:uiPriority w:val="99"/>
    <w:rPr>
      <w:sz w:val="20"/>
    </w:rPr>
  </w:style>
  <w:style w:type="character" w:styleId="666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36"/>
    <w:uiPriority w:val="34"/>
    <w:qFormat/>
    <w:pPr>
      <w:contextualSpacing/>
      <w:ind w:left="720"/>
    </w:pPr>
  </w:style>
  <w:style w:type="paragraph" w:styleId="676">
    <w:name w:val="Title"/>
    <w:basedOn w:val="636"/>
    <w:next w:val="636"/>
    <w:link w:val="677"/>
    <w:uiPriority w:val="10"/>
    <w:qFormat/>
    <w:pPr>
      <w:contextualSpacing/>
      <w:spacing w:before="300"/>
    </w:pPr>
    <w:rPr>
      <w:sz w:val="48"/>
      <w:szCs w:val="48"/>
    </w:rPr>
  </w:style>
  <w:style w:type="character" w:styleId="677" w:customStyle="1">
    <w:name w:val="Назва Знак"/>
    <w:basedOn w:val="646"/>
    <w:link w:val="676"/>
    <w:uiPriority w:val="10"/>
    <w:rPr>
      <w:sz w:val="48"/>
      <w:szCs w:val="48"/>
    </w:rPr>
  </w:style>
  <w:style w:type="paragraph" w:styleId="678">
    <w:name w:val="Subtitle"/>
    <w:basedOn w:val="636"/>
    <w:next w:val="636"/>
    <w:link w:val="679"/>
    <w:uiPriority w:val="11"/>
    <w:qFormat/>
    <w:pPr>
      <w:spacing w:before="200"/>
    </w:pPr>
    <w:rPr>
      <w:sz w:val="24"/>
      <w:szCs w:val="24"/>
    </w:rPr>
  </w:style>
  <w:style w:type="character" w:styleId="679" w:customStyle="1">
    <w:name w:val="Підзаголовок Знак"/>
    <w:basedOn w:val="646"/>
    <w:link w:val="678"/>
    <w:uiPriority w:val="11"/>
    <w:rPr>
      <w:sz w:val="24"/>
      <w:szCs w:val="24"/>
    </w:rPr>
  </w:style>
  <w:style w:type="paragraph" w:styleId="680">
    <w:name w:val="Quote"/>
    <w:basedOn w:val="636"/>
    <w:next w:val="636"/>
    <w:link w:val="681"/>
    <w:uiPriority w:val="29"/>
    <w:qFormat/>
    <w:pPr>
      <w:ind w:left="720" w:right="720"/>
    </w:pPr>
    <w:rPr>
      <w:i/>
    </w:r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36"/>
    <w:next w:val="636"/>
    <w:link w:val="68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36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46"/>
    <w:link w:val="684"/>
    <w:uiPriority w:val="99"/>
  </w:style>
  <w:style w:type="paragraph" w:styleId="686">
    <w:name w:val="Footer"/>
    <w:basedOn w:val="636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46"/>
    <w:uiPriority w:val="99"/>
  </w:style>
  <w:style w:type="paragraph" w:styleId="688">
    <w:name w:val="Caption"/>
    <w:basedOn w:val="636"/>
    <w:next w:val="636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9" w:customStyle="1">
    <w:name w:val="Нижній колонтитул Знак"/>
    <w:link w:val="686"/>
    <w:uiPriority w:val="99"/>
  </w:style>
  <w:style w:type="table" w:styleId="690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9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3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2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6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6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0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3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7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0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4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36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виноски Знак"/>
    <w:link w:val="816"/>
    <w:uiPriority w:val="99"/>
    <w:rPr>
      <w:sz w:val="18"/>
    </w:rPr>
  </w:style>
  <w:style w:type="character" w:styleId="818">
    <w:name w:val="footnote reference"/>
    <w:basedOn w:val="646"/>
    <w:uiPriority w:val="99"/>
    <w:unhideWhenUsed/>
    <w:rPr>
      <w:vertAlign w:val="superscript"/>
    </w:rPr>
  </w:style>
  <w:style w:type="paragraph" w:styleId="819">
    <w:name w:val="endnote text"/>
    <w:basedOn w:val="636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інцевої виноски Знак"/>
    <w:link w:val="819"/>
    <w:uiPriority w:val="99"/>
    <w:rPr>
      <w:sz w:val="20"/>
    </w:rPr>
  </w:style>
  <w:style w:type="character" w:styleId="821">
    <w:name w:val="endnote reference"/>
    <w:basedOn w:val="646"/>
    <w:uiPriority w:val="99"/>
    <w:semiHidden/>
    <w:unhideWhenUsed/>
    <w:rPr>
      <w:vertAlign w:val="superscript"/>
    </w:rPr>
  </w:style>
  <w:style w:type="paragraph" w:styleId="822">
    <w:name w:val="toc 1"/>
    <w:basedOn w:val="636"/>
    <w:next w:val="636"/>
    <w:uiPriority w:val="39"/>
    <w:unhideWhenUsed/>
    <w:pPr>
      <w:spacing w:after="57"/>
    </w:pPr>
  </w:style>
  <w:style w:type="paragraph" w:styleId="823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24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25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26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27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28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29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30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36"/>
    <w:next w:val="636"/>
    <w:uiPriority w:val="99"/>
    <w:unhideWhenUsed/>
    <w:pPr>
      <w:spacing w:after="0"/>
    </w:pPr>
  </w:style>
  <w:style w:type="paragraph" w:styleId="833">
    <w:name w:val="No Spacing"/>
    <w:uiPriority w:val="1"/>
    <w:qFormat/>
    <w:pPr>
      <w:spacing w:after="0" w:line="240" w:lineRule="auto"/>
    </w:pPr>
  </w:style>
  <w:style w:type="table" w:styleId="834">
    <w:name w:val="Table Grid"/>
    <w:basedOn w:val="647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Бєлінська Поліна Сергіївна</cp:lastModifiedBy>
  <cp:revision>9</cp:revision>
  <dcterms:created xsi:type="dcterms:W3CDTF">2023-11-21T10:51:00Z</dcterms:created>
  <dcterms:modified xsi:type="dcterms:W3CDTF">2023-12-01T09:48:21Z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2023-09-25T10:50:36Z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cdb7d996-8680-466c-be39-c12e13df1aa2</vt:lpwstr>
  </property>
  <property fmtid="{D5CDD505-2E9C-101B-9397-08002B2CF9AE}" pid="8" name="MSIP_Label_defa4170-0d19-0005-0004-bc88714345d2_ContentBits">
    <vt:lpwstr>0</vt:lpwstr>
  </property>
</Properties>
</file>