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:rsidTr="00315090">
        <w:trPr>
          <w:trHeight w:val="65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C31505" w:rsidRDefault="00202DD0" w:rsidP="00B21F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02D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за ДК 021:2015 -31150000-2, </w:t>
            </w:r>
            <w:proofErr w:type="spellStart"/>
            <w:r w:rsidRPr="00202DD0">
              <w:rPr>
                <w:rFonts w:ascii="Times New Roman" w:hAnsi="Times New Roman"/>
                <w:b/>
                <w:bCs/>
                <w:sz w:val="24"/>
                <w:szCs w:val="24"/>
              </w:rPr>
              <w:t>Баласти</w:t>
            </w:r>
            <w:proofErr w:type="spellEnd"/>
            <w:r w:rsidRPr="00202D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розрядних ламп чи трубок (Джерело безперебійного живлення)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4C0EB3">
        <w:trPr>
          <w:trHeight w:val="694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C3D89" w:rsidRDefault="00202DD0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02D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UA-2023-11-23-011054-a</w:t>
            </w:r>
          </w:p>
        </w:tc>
      </w:tr>
      <w:tr w:rsidR="00FB480F" w:rsidRPr="00B22825" w:rsidTr="00202DD0">
        <w:trPr>
          <w:trHeight w:val="3988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202DD0" w:rsidRPr="00202DD0" w:rsidRDefault="00202DD0" w:rsidP="00202D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Джерело безперебійного живлення</w:t>
            </w:r>
            <w:r w:rsidRPr="00202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0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складі:</w:t>
            </w:r>
          </w:p>
          <w:p w:rsidR="00202DD0" w:rsidRPr="00202DD0" w:rsidRDefault="00202DD0" w:rsidP="00202D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Джерело безперебійного живлення APC </w:t>
            </w:r>
            <w:proofErr w:type="spellStart"/>
            <w:r w:rsidRPr="0020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202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-UPS SRT 5000VA RM (SRT5KRMXLI) (або еквівалент)  – 1шт.;</w:t>
            </w:r>
          </w:p>
          <w:p w:rsidR="00164AFB" w:rsidRDefault="00202DD0" w:rsidP="00202DD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02DD0">
              <w:rPr>
                <w:rFonts w:ascii="Times New Roman" w:hAnsi="Times New Roman"/>
                <w:sz w:val="24"/>
                <w:szCs w:val="24"/>
              </w:rPr>
              <w:t>Змінний блок акумуляторів для ДБЖ APC SRT192BP (або еквівалент) 1 шт.;</w:t>
            </w:r>
          </w:p>
          <w:tbl>
            <w:tblPr>
              <w:tblStyle w:val="a3"/>
              <w:tblW w:w="6576" w:type="dxa"/>
              <w:tblLayout w:type="fixed"/>
              <w:tblLook w:val="04A0" w:firstRow="1" w:lastRow="0" w:firstColumn="1" w:lastColumn="0" w:noHBand="0" w:noVBand="1"/>
            </w:tblPr>
            <w:tblGrid>
              <w:gridCol w:w="3174"/>
              <w:gridCol w:w="3402"/>
            </w:tblGrid>
            <w:tr w:rsidR="00202DD0" w:rsidRPr="00202DD0" w:rsidTr="00202DD0">
              <w:trPr>
                <w:trHeight w:val="298"/>
              </w:trPr>
              <w:tc>
                <w:tcPr>
                  <w:tcW w:w="6576" w:type="dxa"/>
                  <w:gridSpan w:val="2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Технічні характеристики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Вимоги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Час роботи під навантаженням (4500 Вт)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менше 3 хв 59с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Вхідна напруга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230 В +/- 10В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Вихідна напруга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230 В +/- 10В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Номінальна потужність [Вт]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менше 4500 В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Номінальна потужність [ВА]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менше 5000 В·А</w:t>
                  </w:r>
                </w:p>
              </w:tc>
            </w:tr>
            <w:tr w:rsidR="00202DD0" w:rsidRPr="00202DD0" w:rsidTr="00202DD0">
              <w:trPr>
                <w:trHeight w:val="895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Тип вихідного підключення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менше 6 IEC 60320 C13</w:t>
                  </w: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 xml:space="preserve">не менше 2 IEC </w:t>
                  </w:r>
                  <w:proofErr w:type="spellStart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Jumpers</w:t>
                  </w:r>
                  <w:proofErr w:type="spellEnd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не менше 4 IEC 60320 C19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Кількість стійкових одиниць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більше 3U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Тип акумулятора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Свинцево-кислотна акумуляторна батарея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vMerge w:val="restart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Додаткове обладнання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Компакт-диск із документацією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vMerge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Посібник з інсталяції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vMerge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Монтажні елементи для встановлення у стояк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vMerge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Кронштейни для монтажу у стояк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vMerge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Стоякові напрямні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vMerge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Датчик температури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vMerge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Гарантійний талон</w:t>
                  </w:r>
                </w:p>
              </w:tc>
            </w:tr>
            <w:tr w:rsidR="00202DD0" w:rsidRPr="00202DD0" w:rsidTr="00202DD0">
              <w:trPr>
                <w:trHeight w:val="596"/>
              </w:trPr>
              <w:tc>
                <w:tcPr>
                  <w:tcW w:w="3174" w:type="dxa"/>
                  <w:vMerge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Плата адміністрування </w:t>
                  </w:r>
                  <w:proofErr w:type="spellStart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Web</w:t>
                  </w:r>
                  <w:proofErr w:type="spellEnd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/SNMP </w:t>
                  </w:r>
                  <w:proofErr w:type="spellStart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Management</w:t>
                  </w:r>
                  <w:proofErr w:type="spellEnd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Card</w:t>
                  </w:r>
                  <w:proofErr w:type="spellEnd"/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6576" w:type="dxa"/>
                  <w:gridSpan w:val="2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Акумулятори і тривалість автономної роботи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Час перезаряджання акумуляторної батареї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більше 1,5 год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Число батарейних змінних блоків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Напруга батареї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192 В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Потужність зарядного пристрою (Вт)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Не менше 560 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Термін служби батареї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менше 3 (роки)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Змінна батарея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APCRBC140 (або еквівалент)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6576" w:type="dxa"/>
                  <w:gridSpan w:val="2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Фізичні розміри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Висота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більше 14,0 см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Ширина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більше 44,0 см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Глибина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більше 72,0 см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Маса </w:t>
                  </w:r>
                  <w:proofErr w:type="spellStart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нетто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більше 55,00 кг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Місце встановлення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Можливість встановлення в телекомунікаційну шафу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Спосіб кріплення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Монтування на крючках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6576" w:type="dxa"/>
                  <w:gridSpan w:val="2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Вхід живлення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Частота мережі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Від 40 до 70 </w:t>
                  </w:r>
                  <w:proofErr w:type="spellStart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Hz</w:t>
                  </w:r>
                  <w:proofErr w:type="spellEnd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02DD0" w:rsidRPr="00202DD0" w:rsidTr="00202DD0">
              <w:trPr>
                <w:trHeight w:val="596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Кількість роз'ємів для </w:t>
                  </w:r>
                  <w:proofErr w:type="spellStart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введень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1 Нероз'ємне </w:t>
                  </w:r>
                  <w:proofErr w:type="spellStart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трипровідне</w:t>
                  </w:r>
                  <w:proofErr w:type="spellEnd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(фаза + </w:t>
                  </w:r>
                  <w:proofErr w:type="spellStart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нейтраль</w:t>
                  </w:r>
                  <w:proofErr w:type="spellEnd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+ земля)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Межі вхідної напруги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Від 100 до 275 В регульований (половинне навантаження)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6576" w:type="dxa"/>
                  <w:gridSpan w:val="2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Вихід живлення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Максимальна </w:t>
                  </w:r>
                  <w:proofErr w:type="spellStart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конфігурована</w:t>
                  </w:r>
                  <w:proofErr w:type="spellEnd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потужність [Вт]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менше 4500 В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Гармонійне спотворення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Менше 2%</w:t>
                  </w:r>
                </w:p>
              </w:tc>
            </w:tr>
            <w:tr w:rsidR="00202DD0" w:rsidRPr="00202DD0" w:rsidTr="00202DD0">
              <w:trPr>
                <w:trHeight w:val="596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Вихідна частота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50/60 </w:t>
                  </w:r>
                  <w:proofErr w:type="spellStart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Гц</w:t>
                  </w:r>
                  <w:proofErr w:type="spellEnd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+/- 3 </w:t>
                  </w:r>
                  <w:proofErr w:type="spellStart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Hz</w:t>
                  </w:r>
                  <w:proofErr w:type="spellEnd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синхронізована з </w:t>
                  </w:r>
                  <w:proofErr w:type="spellStart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електромережею</w:t>
                  </w:r>
                  <w:proofErr w:type="spellEnd"/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Коефіцієнт амплітуди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3:01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Тип ДБЖ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Подвійне перетворення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Тип форми напруги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Синусоїдальний сигнал</w:t>
                  </w:r>
                </w:p>
              </w:tc>
            </w:tr>
            <w:tr w:rsidR="00202DD0" w:rsidRPr="00202DD0" w:rsidTr="00202DD0">
              <w:trPr>
                <w:trHeight w:val="596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Тип </w:t>
                  </w:r>
                  <w:proofErr w:type="spellStart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байпасу</w:t>
                  </w:r>
                  <w:proofErr w:type="spellEnd"/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Внутрішній </w:t>
                  </w:r>
                  <w:proofErr w:type="spellStart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байпас</w:t>
                  </w:r>
                  <w:proofErr w:type="spellEnd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(з автоматичним або ручним увімкненням)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Максимальна </w:t>
                  </w:r>
                  <w:proofErr w:type="spellStart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конфігурована</w:t>
                  </w:r>
                  <w:proofErr w:type="spellEnd"/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потужність [ВА]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менше 5000 ВА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6576" w:type="dxa"/>
                  <w:gridSpan w:val="2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Відповідність вимогам</w:t>
                  </w:r>
                </w:p>
              </w:tc>
            </w:tr>
            <w:tr w:rsidR="00202DD0" w:rsidRPr="00202DD0" w:rsidTr="00202DD0">
              <w:trPr>
                <w:trHeight w:val="596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Попередньо встановлений пристрій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Карта управління мережею</w:t>
                  </w:r>
                </w:p>
              </w:tc>
            </w:tr>
            <w:tr w:rsidR="00202DD0" w:rsidRPr="00202DD0" w:rsidTr="00202DD0">
              <w:trPr>
                <w:trHeight w:val="596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Сигналізація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Звукові та візуальні сигнали : пріоритет за ступенем серйозності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Аварійне відключення живлення (EPO)</w:t>
                  </w:r>
                </w:p>
              </w:tc>
              <w:tc>
                <w:tcPr>
                  <w:tcW w:w="3402" w:type="dxa"/>
                  <w:hideMark/>
                </w:tcPr>
                <w:p w:rsidR="00202DD0" w:rsidRPr="00202DD0" w:rsidRDefault="00202DD0" w:rsidP="00202DD0">
                  <w:pPr>
                    <w:widowControl w:val="0"/>
                    <w:contextualSpacing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Так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6576" w:type="dxa"/>
                  <w:gridSpan w:val="2"/>
                  <w:noWrap/>
                </w:tcPr>
                <w:p w:rsidR="00202DD0" w:rsidRPr="00202DD0" w:rsidRDefault="00202DD0" w:rsidP="00202DD0">
                  <w:pPr>
                    <w:widowControl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202DD0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  <w:t>Змінний блок акумуляторів для ДБЖ APC SRT192BP (або еквівалент)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Тип акумулятора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Свинцево-кислотна акумуляторна батарея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vMerge w:val="restart"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Додаткове обладнання 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Компакт-диск із документацією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vMerge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402" w:type="dxa"/>
                  <w:noWrap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Посібник з інсталяції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vMerge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402" w:type="dxa"/>
                  <w:noWrap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Гарантійний талон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Монтаж пристрою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Монтаж в стійку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Напруга батареї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192 В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Число батарейних змінних блоків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Не менше 2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Змінна батарея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APCRBC140 (або еквівалент)</w:t>
                  </w:r>
                </w:p>
              </w:tc>
            </w:tr>
            <w:tr w:rsidR="00202DD0" w:rsidRPr="00202DD0" w:rsidTr="00202DD0">
              <w:trPr>
                <w:gridAfter w:val="1"/>
                <w:wAfter w:w="3402" w:type="dxa"/>
                <w:trHeight w:val="298"/>
              </w:trPr>
              <w:tc>
                <w:tcPr>
                  <w:tcW w:w="3174" w:type="dxa"/>
                  <w:noWrap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70C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70C0"/>
                      <w:sz w:val="20"/>
                      <w:szCs w:val="20"/>
                      <w:lang w:eastAsia="uk-UA"/>
                    </w:rPr>
                    <w:t>Фізичні розміри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Висота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Не більше 44,0 см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Ширина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Не більше 13,0 см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Глибина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Не більше 69,00 см</w:t>
                  </w:r>
                </w:p>
              </w:tc>
            </w:tr>
            <w:tr w:rsidR="00202DD0" w:rsidRPr="00202DD0" w:rsidTr="00202DD0">
              <w:trPr>
                <w:trHeight w:val="298"/>
              </w:trPr>
              <w:tc>
                <w:tcPr>
                  <w:tcW w:w="3174" w:type="dxa"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Маса </w:t>
                  </w:r>
                  <w:proofErr w:type="spellStart"/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нетто</w:t>
                  </w:r>
                  <w:proofErr w:type="spellEnd"/>
                </w:p>
              </w:tc>
              <w:tc>
                <w:tcPr>
                  <w:tcW w:w="3402" w:type="dxa"/>
                  <w:noWrap/>
                  <w:hideMark/>
                </w:tcPr>
                <w:p w:rsidR="00202DD0" w:rsidRPr="00202DD0" w:rsidRDefault="00202DD0" w:rsidP="00202DD0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02DD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Не більше 91 кг</w:t>
                  </w:r>
                </w:p>
              </w:tc>
            </w:tr>
          </w:tbl>
          <w:p w:rsidR="00202DD0" w:rsidRPr="00315090" w:rsidRDefault="00202DD0" w:rsidP="00202DD0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bookmarkStart w:id="1" w:name="_GoBack"/>
        <w:bookmarkEnd w:id="1"/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914079" w:rsidP="00DE0AD6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357 1</w:t>
            </w:r>
            <w:r w:rsidR="004C0C6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D96C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DC" w:rsidRDefault="00D96CDC" w:rsidP="00D96CDC">
      <w:pPr>
        <w:spacing w:after="0" w:line="240" w:lineRule="auto"/>
      </w:pPr>
      <w:r>
        <w:separator/>
      </w:r>
    </w:p>
  </w:endnote>
  <w:end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DC" w:rsidRDefault="00D96CDC" w:rsidP="00D96CDC">
      <w:pPr>
        <w:spacing w:after="0" w:line="240" w:lineRule="auto"/>
      </w:pPr>
      <w:r>
        <w:separator/>
      </w:r>
    </w:p>
  </w:footnote>
  <w:footnote w:type="continuationSeparator" w:id="0">
    <w:p w:rsidR="00D96CDC" w:rsidRDefault="00D96CDC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320008"/>
      <w:docPartObj>
        <w:docPartGallery w:val="Page Numbers (Top of Page)"/>
        <w:docPartUnique/>
      </w:docPartObj>
    </w:sdtPr>
    <w:sdtEndPr/>
    <w:sdtContent>
      <w:p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079">
          <w:rPr>
            <w:noProof/>
          </w:rPr>
          <w:t>2</w:t>
        </w:r>
        <w:r>
          <w:fldChar w:fldCharType="end"/>
        </w:r>
      </w:p>
    </w:sdtContent>
  </w:sdt>
  <w:p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1284"/>
    <w:rsid w:val="0008419F"/>
    <w:rsid w:val="00092415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1F6B13"/>
    <w:rsid w:val="00202DD0"/>
    <w:rsid w:val="00203B3A"/>
    <w:rsid w:val="002168C9"/>
    <w:rsid w:val="00230252"/>
    <w:rsid w:val="00236819"/>
    <w:rsid w:val="00237B8A"/>
    <w:rsid w:val="00240FBC"/>
    <w:rsid w:val="00246A96"/>
    <w:rsid w:val="00257C65"/>
    <w:rsid w:val="00266F7A"/>
    <w:rsid w:val="00282415"/>
    <w:rsid w:val="0028630E"/>
    <w:rsid w:val="002A32B1"/>
    <w:rsid w:val="002B0D61"/>
    <w:rsid w:val="002C200B"/>
    <w:rsid w:val="002C3E44"/>
    <w:rsid w:val="002D1CBD"/>
    <w:rsid w:val="002D3B58"/>
    <w:rsid w:val="00315090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54DC4"/>
    <w:rsid w:val="00457A65"/>
    <w:rsid w:val="004949E1"/>
    <w:rsid w:val="004A3948"/>
    <w:rsid w:val="004A6696"/>
    <w:rsid w:val="004B3609"/>
    <w:rsid w:val="004C0C66"/>
    <w:rsid w:val="004C0EB3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B47"/>
    <w:rsid w:val="0063186E"/>
    <w:rsid w:val="00650389"/>
    <w:rsid w:val="00666532"/>
    <w:rsid w:val="0067209B"/>
    <w:rsid w:val="0069369C"/>
    <w:rsid w:val="006B345D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41B"/>
    <w:rsid w:val="007C68CE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4079"/>
    <w:rsid w:val="00916FE0"/>
    <w:rsid w:val="00954F32"/>
    <w:rsid w:val="00956A2B"/>
    <w:rsid w:val="00961F21"/>
    <w:rsid w:val="00965D22"/>
    <w:rsid w:val="0096653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064"/>
    <w:rsid w:val="00A01CDF"/>
    <w:rsid w:val="00A03BB9"/>
    <w:rsid w:val="00A10622"/>
    <w:rsid w:val="00A13268"/>
    <w:rsid w:val="00A52734"/>
    <w:rsid w:val="00A536EB"/>
    <w:rsid w:val="00A70683"/>
    <w:rsid w:val="00A70D75"/>
    <w:rsid w:val="00A90DF4"/>
    <w:rsid w:val="00AE08AF"/>
    <w:rsid w:val="00AF119C"/>
    <w:rsid w:val="00AF37E4"/>
    <w:rsid w:val="00B01893"/>
    <w:rsid w:val="00B02831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D6843"/>
    <w:rsid w:val="00BE270E"/>
    <w:rsid w:val="00BE4991"/>
    <w:rsid w:val="00C004D5"/>
    <w:rsid w:val="00C040C6"/>
    <w:rsid w:val="00C06313"/>
    <w:rsid w:val="00C07741"/>
    <w:rsid w:val="00C161FA"/>
    <w:rsid w:val="00C20F57"/>
    <w:rsid w:val="00C31505"/>
    <w:rsid w:val="00C86062"/>
    <w:rsid w:val="00CA472E"/>
    <w:rsid w:val="00CD5E5D"/>
    <w:rsid w:val="00CF3338"/>
    <w:rsid w:val="00D016FC"/>
    <w:rsid w:val="00D07F5B"/>
    <w:rsid w:val="00D07FF5"/>
    <w:rsid w:val="00D17788"/>
    <w:rsid w:val="00D27852"/>
    <w:rsid w:val="00D32609"/>
    <w:rsid w:val="00D54450"/>
    <w:rsid w:val="00D83CCE"/>
    <w:rsid w:val="00D905EA"/>
    <w:rsid w:val="00D96CDC"/>
    <w:rsid w:val="00DC179B"/>
    <w:rsid w:val="00DD4CA6"/>
    <w:rsid w:val="00DE0AD6"/>
    <w:rsid w:val="00DE39C5"/>
    <w:rsid w:val="00DE562E"/>
    <w:rsid w:val="00DF0762"/>
    <w:rsid w:val="00DF2768"/>
    <w:rsid w:val="00DF5163"/>
    <w:rsid w:val="00E00896"/>
    <w:rsid w:val="00E0632B"/>
    <w:rsid w:val="00E1226B"/>
    <w:rsid w:val="00E202AF"/>
    <w:rsid w:val="00E2347C"/>
    <w:rsid w:val="00E354B4"/>
    <w:rsid w:val="00E37D4F"/>
    <w:rsid w:val="00E41747"/>
    <w:rsid w:val="00E507CD"/>
    <w:rsid w:val="00E67A76"/>
    <w:rsid w:val="00E92103"/>
    <w:rsid w:val="00E95AEE"/>
    <w:rsid w:val="00EA3F85"/>
    <w:rsid w:val="00EA56A9"/>
    <w:rsid w:val="00EA589C"/>
    <w:rsid w:val="00EA7985"/>
    <w:rsid w:val="00ED0C8D"/>
    <w:rsid w:val="00ED12F7"/>
    <w:rsid w:val="00ED58A0"/>
    <w:rsid w:val="00ED769C"/>
    <w:rsid w:val="00F341F4"/>
    <w:rsid w:val="00F61E5E"/>
    <w:rsid w:val="00F65AF4"/>
    <w:rsid w:val="00F73CB6"/>
    <w:rsid w:val="00F76ECB"/>
    <w:rsid w:val="00F87A79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BB54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7321E-6E2E-4782-8FDF-BB9001A5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2705</Words>
  <Characters>1543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4</cp:revision>
  <cp:lastPrinted>2022-11-30T12:10:00Z</cp:lastPrinted>
  <dcterms:created xsi:type="dcterms:W3CDTF">2023-11-23T12:59:00Z</dcterms:created>
  <dcterms:modified xsi:type="dcterms:W3CDTF">2023-11-23T13:03:00Z</dcterms:modified>
</cp:coreProperties>
</file>