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7"/>
        <w:spacing w:after="24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uk-UA"/>
        </w:rPr>
        <w:t xml:space="preserve">Додаток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uk-UA"/>
        </w:rPr>
        <w:br/>
        <w:t xml:space="preserve">до аналізу регуляторного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uk-UA"/>
        </w:rPr>
        <w:t xml:space="preserve">впливу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uk-UA"/>
        </w:rPr>
        <w:outlineLvl w:val="2"/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ТЕСТ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uk-UA"/>
        </w:rPr>
        <w:outlineLvl w:val="2"/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малого підприємництва (М-Тест)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</w:r>
      <w:r/>
    </w:p>
    <w:p>
      <w:pPr>
        <w:ind w:firstLine="709"/>
        <w:jc w:val="both"/>
        <w:spacing w:after="165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1. Консультації з представниками мікро- та малого підприємництва щодо оцінки впливу регулювання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Консультації щодо визначення впливу запропонованого регулювання на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суб’єктів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 малого підприємництва та визначення детального переліку процедур, виконання яких необхідно для здійснення регулювання, проведено розробником 20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23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 р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оку шляхом телефонних та онлайн консультацій із суб’єктами малого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та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мікро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підприємництва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Проєкт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 наказу також розміщено на офіційному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вебсайті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 Міністерства внутрішніх справ України для громадського обговорення з метою отримання зауважень і пропозицій.</w:t>
      </w:r>
      <w:r/>
    </w:p>
    <w:p>
      <w:pPr>
        <w:ind w:firstLine="709"/>
        <w:jc w:val="both"/>
        <w:spacing w:after="165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</w:r>
      <w:r/>
    </w:p>
    <w:tbl>
      <w:tblPr>
        <w:tblW w:w="5000" w:type="pct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68"/>
        <w:gridCol w:w="2689"/>
        <w:gridCol w:w="1433"/>
        <w:gridCol w:w="4232"/>
      </w:tblGrid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pct"/>
            <w:vAlign w:val="center"/>
            <w:textDirection w:val="lrTb"/>
            <w:noWrap w:val="false"/>
          </w:tcPr>
          <w:p>
            <w:pPr>
              <w:jc w:val="center"/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Порядковий номер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8" w:type="pct"/>
            <w:vAlign w:val="center"/>
            <w:textDirection w:val="lrTb"/>
            <w:noWrap w:val="false"/>
          </w:tcPr>
          <w:p>
            <w:pPr>
              <w:jc w:val="center"/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Вид консультації 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5" w:type="pct"/>
            <w:vAlign w:val="center"/>
            <w:textDirection w:val="lrTb"/>
            <w:noWrap w:val="false"/>
          </w:tcPr>
          <w:p>
            <w:pPr>
              <w:jc w:val="center"/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Кількість учасників консультацій, осіб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9" w:type="pct"/>
            <w:vAlign w:val="center"/>
            <w:textDirection w:val="lrTb"/>
            <w:noWrap w:val="false"/>
          </w:tcPr>
          <w:p>
            <w:pPr>
              <w:jc w:val="center"/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Основні результати консультацій (опис)</w:t>
            </w:r>
            <w:r/>
          </w:p>
        </w:tc>
      </w:tr>
      <w:tr>
        <w:trPr>
          <w:trHeight w:val="5133"/>
        </w:trPr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pct"/>
            <w:vAlign w:val="center"/>
            <w:textDirection w:val="lrTb"/>
            <w:noWrap w:val="false"/>
          </w:tcPr>
          <w:p>
            <w:pPr>
              <w:jc w:val="center"/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8" w:type="pct"/>
            <w:vAlign w:val="center"/>
            <w:textDirection w:val="lrTb"/>
            <w:noWrap w:val="false"/>
          </w:tcPr>
          <w:p>
            <w:pPr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Телефонні та онлайн консультації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5" w:type="pct"/>
            <w:vAlign w:val="center"/>
            <w:textDirection w:val="lrTb"/>
            <w:noWrap w:val="false"/>
          </w:tcPr>
          <w:p>
            <w:pPr>
              <w:jc w:val="center"/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44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9" w:type="pct"/>
            <w:vAlign w:val="center"/>
            <w:textDirection w:val="lrTb"/>
            <w:noWrap w:val="false"/>
          </w:tcPr>
          <w:p>
            <w:pPr>
              <w:ind w:left="126" w:right="121" w:firstLine="13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Проєкт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наказу був позитивно оцінений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суб’єктами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підприємництва.</w:t>
            </w:r>
            <w:r/>
          </w:p>
          <w:p>
            <w:pPr>
              <w:ind w:left="126" w:right="121" w:firstLine="13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Отримано інформацію щодо переліку процедур, які необхідно виконати та кількість часу, який витрачатиметься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суб’єктом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господарювання у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зв’язку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із виконанням вимог регуляторного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акта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для одного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суб’єкта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господарювання:</w:t>
            </w:r>
            <w:r/>
          </w:p>
          <w:p>
            <w:pPr>
              <w:ind w:left="126" w:right="121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0,5 годин – ознайомлення з новими вимогами регулювання;</w:t>
            </w:r>
            <w:r/>
          </w:p>
          <w:p>
            <w:pPr>
              <w:ind w:left="126" w:right="121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годин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– організація виконання вимог регуляторного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акта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.</w:t>
            </w:r>
            <w:r/>
          </w:p>
        </w:tc>
      </w:tr>
      <w:tr>
        <w:trPr>
          <w:trHeight w:val="2127"/>
        </w:trPr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8" w:type="pct"/>
            <w:vAlign w:val="center"/>
            <w:textDirection w:val="lrTb"/>
            <w:noWrap w:val="false"/>
          </w:tcPr>
          <w:p>
            <w:pPr>
              <w:jc w:val="center"/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98" w:type="pct"/>
            <w:vAlign w:val="center"/>
            <w:textDirection w:val="lrTb"/>
            <w:noWrap w:val="false"/>
          </w:tcPr>
          <w:p>
            <w:pPr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Громадське обговорення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5" w:type="pct"/>
            <w:vAlign w:val="center"/>
            <w:textDirection w:val="lrTb"/>
            <w:noWrap w:val="false"/>
          </w:tcPr>
          <w:p>
            <w:pPr>
              <w:jc w:val="center"/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99" w:type="pct"/>
            <w:vAlign w:val="center"/>
            <w:textDirection w:val="lrTb"/>
            <w:noWrap w:val="false"/>
          </w:tcPr>
          <w:p>
            <w:pPr>
              <w:ind w:left="126" w:right="121" w:firstLine="13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Проєкт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наказу розміщено на офіційному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вебсайті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Міністерства внутрішніх справ України для громадського обговорення з метою отримання зауважень і пропозицій.</w:t>
            </w:r>
            <w:r/>
          </w:p>
        </w:tc>
      </w:tr>
    </w:tbl>
    <w:p>
      <w:pPr>
        <w:ind w:firstLine="709"/>
        <w:jc w:val="both"/>
        <w:spacing w:before="240" w:after="12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uk-UA"/>
        </w:rPr>
      </w:r>
      <w:r/>
    </w:p>
    <w:p>
      <w:pPr>
        <w:ind w:firstLine="709"/>
        <w:jc w:val="both"/>
        <w:spacing w:before="240" w:after="12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2.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 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Вимірювання впливу регулювання на суб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’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єктів малого підприємництва (мікро- та малі):</w:t>
      </w:r>
      <w:r/>
    </w:p>
    <w:p>
      <w:pPr>
        <w:ind w:firstLine="709"/>
        <w:jc w:val="both"/>
        <w:spacing w:after="165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Орієнтовна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кількість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суб’єктів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 малого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 та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мікро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підприємництва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, на яких поширюється регулювання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 –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286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у тому числі малого підприємництва – 57 та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мікропідприємництва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 – 229,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питома вага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суб’єктів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 малого підприємництва у загальній кількості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суб’єктів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 господарювання, на яких проблема справляє вплив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100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 %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.</w:t>
      </w:r>
      <w:r/>
    </w:p>
    <w:p>
      <w:pPr>
        <w:ind w:firstLine="709"/>
        <w:jc w:val="both"/>
        <w:spacing w:after="165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</w:r>
      <w:r/>
    </w:p>
    <w:p>
      <w:pPr>
        <w:ind w:firstLine="709"/>
        <w:spacing w:after="165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3. Розрахунок витрат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суб’єктів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малого підприємництва на виконання вимог регулювання</w:t>
      </w:r>
      <w:r/>
    </w:p>
    <w:p>
      <w:pPr>
        <w:ind w:firstLine="709"/>
        <w:jc w:val="center"/>
        <w:spacing w:after="12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Розрахунок витрат суб’єктів малого підприємництва на виконання вимог регулювання</w:t>
      </w:r>
      <w:r/>
    </w:p>
    <w:tbl>
      <w:tblPr>
        <w:tblW w:w="4965" w:type="pct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69"/>
        <w:gridCol w:w="4254"/>
        <w:gridCol w:w="1812"/>
        <w:gridCol w:w="1307"/>
        <w:gridCol w:w="913"/>
      </w:tblGrid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4" w:type="pct"/>
            <w:vAlign w:val="center"/>
            <w:textDirection w:val="lrTb"/>
            <w:noWrap w:val="false"/>
          </w:tcPr>
          <w:p>
            <w:pPr>
              <w:jc w:val="center"/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Порядковий номер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25" w:type="pct"/>
            <w:vAlign w:val="center"/>
            <w:textDirection w:val="lrTb"/>
            <w:noWrap w:val="false"/>
          </w:tcPr>
          <w:p>
            <w:pPr>
              <w:jc w:val="center"/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Найменування оцінки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8" w:type="pct"/>
            <w:vAlign w:val="center"/>
            <w:textDirection w:val="lrTb"/>
            <w:noWrap w:val="false"/>
          </w:tcPr>
          <w:p>
            <w:pPr>
              <w:jc w:val="center"/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У перший рік (стартовий рік впровадження регулювання)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4" w:type="pct"/>
            <w:vAlign w:val="center"/>
            <w:textDirection w:val="lrTb"/>
            <w:noWrap w:val="false"/>
          </w:tcPr>
          <w:p>
            <w:pPr>
              <w:jc w:val="center"/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Періодичні (за наступний рік)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9" w:type="pct"/>
            <w:vAlign w:val="center"/>
            <w:textDirection w:val="lrTb"/>
            <w:noWrap w:val="false"/>
          </w:tcPr>
          <w:p>
            <w:pPr>
              <w:jc w:val="center"/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Витрати за п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’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ять років</w:t>
            </w:r>
            <w:r/>
          </w:p>
        </w:tc>
      </w:tr>
      <w:tr>
        <w:trPr/>
        <w:tc>
          <w:tcPr>
            <w:gridSpan w:val="5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000" w:type="pct"/>
            <w:vAlign w:val="center"/>
            <w:textDirection w:val="lrTb"/>
            <w:noWrap w:val="false"/>
          </w:tcPr>
          <w:p>
            <w:pPr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Оцінка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прямих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витрат суб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’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єктів малого підприємництва на виконання регулювання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4" w:type="pct"/>
            <w:vAlign w:val="center"/>
            <w:textDirection w:val="lrTb"/>
            <w:noWrap w:val="false"/>
          </w:tcPr>
          <w:p>
            <w:pPr>
              <w:jc w:val="center"/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25" w:type="pct"/>
            <w:vAlign w:val="center"/>
            <w:textDirection w:val="lrTb"/>
            <w:noWrap w:val="false"/>
          </w:tcPr>
          <w:p>
            <w:pPr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Придбання необхідного обладнання (пристроїв, машин, механізмів)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8" w:type="pct"/>
            <w:vAlign w:val="center"/>
            <w:textDirection w:val="lrTb"/>
            <w:noWrap w:val="false"/>
          </w:tcPr>
          <w:p>
            <w:pPr>
              <w:jc w:val="center"/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–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4" w:type="pct"/>
            <w:vAlign w:val="center"/>
            <w:textDirection w:val="lrTb"/>
            <w:noWrap w:val="false"/>
          </w:tcPr>
          <w:p>
            <w:pPr>
              <w:jc w:val="center"/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–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9" w:type="pct"/>
            <w:vAlign w:val="center"/>
            <w:textDirection w:val="lrTb"/>
            <w:noWrap w:val="false"/>
          </w:tcPr>
          <w:p>
            <w:pPr>
              <w:jc w:val="center"/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–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4" w:type="pct"/>
            <w:vAlign w:val="center"/>
            <w:textDirection w:val="lrTb"/>
            <w:noWrap w:val="false"/>
          </w:tcPr>
          <w:p>
            <w:pPr>
              <w:jc w:val="center"/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25" w:type="pct"/>
            <w:vAlign w:val="center"/>
            <w:textDirection w:val="lrTb"/>
            <w:noWrap w:val="false"/>
          </w:tcPr>
          <w:p>
            <w:pPr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Процедури повірки та/або постановки на відповідний облік у визначеному органі державної влади чи місцевого самоврядування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8" w:type="pct"/>
            <w:vAlign w:val="center"/>
            <w:textDirection w:val="lrTb"/>
            <w:noWrap w:val="false"/>
          </w:tcPr>
          <w:p>
            <w:pPr>
              <w:jc w:val="center"/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–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4" w:type="pct"/>
            <w:vAlign w:val="center"/>
            <w:textDirection w:val="lrTb"/>
            <w:noWrap w:val="false"/>
          </w:tcPr>
          <w:p>
            <w:pPr>
              <w:jc w:val="center"/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–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9" w:type="pct"/>
            <w:vAlign w:val="center"/>
            <w:textDirection w:val="lrTb"/>
            <w:noWrap w:val="false"/>
          </w:tcPr>
          <w:p>
            <w:pPr>
              <w:jc w:val="center"/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–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4" w:type="pct"/>
            <w:vAlign w:val="center"/>
            <w:textDirection w:val="lrTb"/>
            <w:noWrap w:val="false"/>
          </w:tcPr>
          <w:p>
            <w:pPr>
              <w:jc w:val="center"/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25" w:type="pct"/>
            <w:vAlign w:val="center"/>
            <w:textDirection w:val="lrTb"/>
            <w:noWrap w:val="false"/>
          </w:tcPr>
          <w:p>
            <w:pPr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Процедури експлуатації обладнання (експлуатаційні витрати - витратні матеріали)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8" w:type="pct"/>
            <w:vAlign w:val="center"/>
            <w:textDirection w:val="lrTb"/>
            <w:noWrap w:val="false"/>
          </w:tcPr>
          <w:p>
            <w:pPr>
              <w:jc w:val="center"/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–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4" w:type="pct"/>
            <w:vAlign w:val="center"/>
            <w:textDirection w:val="lrTb"/>
            <w:noWrap w:val="false"/>
          </w:tcPr>
          <w:p>
            <w:pPr>
              <w:jc w:val="center"/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–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9" w:type="pct"/>
            <w:vAlign w:val="center"/>
            <w:textDirection w:val="lrTb"/>
            <w:noWrap w:val="false"/>
          </w:tcPr>
          <w:p>
            <w:pPr>
              <w:jc w:val="center"/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–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4" w:type="pct"/>
            <w:vAlign w:val="center"/>
            <w:textDirection w:val="lrTb"/>
            <w:noWrap w:val="false"/>
          </w:tcPr>
          <w:p>
            <w:pPr>
              <w:jc w:val="center"/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25" w:type="pct"/>
            <w:vAlign w:val="center"/>
            <w:textDirection w:val="lrTb"/>
            <w:noWrap w:val="false"/>
          </w:tcPr>
          <w:p>
            <w:pPr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Процедури обслуговування обладнання (технічне обслуговування)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8" w:type="pct"/>
            <w:vAlign w:val="center"/>
            <w:textDirection w:val="lrTb"/>
            <w:noWrap w:val="false"/>
          </w:tcPr>
          <w:p>
            <w:pPr>
              <w:jc w:val="center"/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–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4" w:type="pct"/>
            <w:vAlign w:val="center"/>
            <w:textDirection w:val="lrTb"/>
            <w:noWrap w:val="false"/>
          </w:tcPr>
          <w:p>
            <w:pPr>
              <w:jc w:val="center"/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–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9" w:type="pct"/>
            <w:vAlign w:val="center"/>
            <w:textDirection w:val="lrTb"/>
            <w:noWrap w:val="false"/>
          </w:tcPr>
          <w:p>
            <w:pPr>
              <w:jc w:val="center"/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–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4" w:type="pct"/>
            <w:vAlign w:val="center"/>
            <w:textDirection w:val="lrTb"/>
            <w:noWrap w:val="false"/>
          </w:tcPr>
          <w:p>
            <w:pPr>
              <w:jc w:val="center"/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25" w:type="pct"/>
            <w:vAlign w:val="center"/>
            <w:textDirection w:val="lrTb"/>
            <w:noWrap w:val="false"/>
          </w:tcPr>
          <w:p>
            <w:pPr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Інші процедури (уточнити)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8" w:type="pct"/>
            <w:vAlign w:val="center"/>
            <w:textDirection w:val="lrTb"/>
            <w:noWrap w:val="false"/>
          </w:tcPr>
          <w:p>
            <w:pPr>
              <w:jc w:val="center"/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–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4" w:type="pct"/>
            <w:vAlign w:val="center"/>
            <w:textDirection w:val="lrTb"/>
            <w:noWrap w:val="false"/>
          </w:tcPr>
          <w:p>
            <w:pPr>
              <w:jc w:val="center"/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–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9" w:type="pct"/>
            <w:vAlign w:val="center"/>
            <w:textDirection w:val="lrTb"/>
            <w:noWrap w:val="false"/>
          </w:tcPr>
          <w:p>
            <w:pPr>
              <w:jc w:val="center"/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–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4" w:type="pct"/>
            <w:vAlign w:val="center"/>
            <w:textDirection w:val="lrTb"/>
            <w:noWrap w:val="false"/>
          </w:tcPr>
          <w:p>
            <w:pPr>
              <w:jc w:val="center"/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25" w:type="pct"/>
            <w:vAlign w:val="center"/>
            <w:textDirection w:val="lrTb"/>
            <w:noWrap w:val="false"/>
          </w:tcPr>
          <w:p>
            <w:pPr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Разом, гривень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Формула: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br/>
              <w:t xml:space="preserve">(сума рядків 1 + 2 + 3 + 4 + 5)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8" w:type="pct"/>
            <w:vAlign w:val="center"/>
            <w:textDirection w:val="lrTb"/>
            <w:noWrap w:val="false"/>
          </w:tcPr>
          <w:p>
            <w:pPr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4" w:type="pct"/>
            <w:vAlign w:val="center"/>
            <w:textDirection w:val="lrTb"/>
            <w:noWrap w:val="false"/>
          </w:tcPr>
          <w:p>
            <w:pPr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9" w:type="pct"/>
            <w:vAlign w:val="center"/>
            <w:textDirection w:val="lrTb"/>
            <w:noWrap w:val="false"/>
          </w:tcPr>
          <w:p>
            <w:pPr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 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4" w:type="pct"/>
            <w:vAlign w:val="center"/>
            <w:textDirection w:val="lrTb"/>
            <w:noWrap w:val="false"/>
          </w:tcPr>
          <w:p>
            <w:pPr>
              <w:jc w:val="center"/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25" w:type="pct"/>
            <w:vAlign w:val="center"/>
            <w:textDirection w:val="lrTb"/>
            <w:noWrap w:val="false"/>
          </w:tcPr>
          <w:p>
            <w:pPr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Кількість суб’єктів господарювання, що повинні виконати вимоги регулювання, одиниць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11" w:type="pct"/>
            <w:vAlign w:val="center"/>
            <w:textDirection w:val="lrTb"/>
            <w:noWrap w:val="false"/>
          </w:tcPr>
          <w:p>
            <w:pPr>
              <w:jc w:val="center"/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286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4" w:type="pct"/>
            <w:vAlign w:val="center"/>
            <w:textDirection w:val="lrTb"/>
            <w:noWrap w:val="false"/>
          </w:tcPr>
          <w:p>
            <w:pPr>
              <w:jc w:val="center"/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25" w:type="pct"/>
            <w:vAlign w:val="center"/>
            <w:textDirection w:val="lrTb"/>
            <w:noWrap w:val="false"/>
          </w:tcPr>
          <w:p>
            <w:pPr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Сумарно, гривень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Формула: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br/>
              <w:t xml:space="preserve">відповідний стовпчик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разом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 Х кількість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суб’єктів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 малого підприємництва, що повинні виконати вимоги регулювання (рядок 6 Х рядок 7)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8" w:type="pct"/>
            <w:vAlign w:val="center"/>
            <w:textDirection w:val="lrTb"/>
            <w:noWrap w:val="false"/>
          </w:tcPr>
          <w:p>
            <w:pPr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4" w:type="pct"/>
            <w:vAlign w:val="center"/>
            <w:textDirection w:val="lrTb"/>
            <w:noWrap w:val="false"/>
          </w:tcPr>
          <w:p>
            <w:pPr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9" w:type="pct"/>
            <w:vAlign w:val="center"/>
            <w:textDirection w:val="lrTb"/>
            <w:noWrap w:val="false"/>
          </w:tcPr>
          <w:p>
            <w:pPr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 </w:t>
            </w:r>
            <w:r/>
          </w:p>
        </w:tc>
      </w:tr>
      <w:tr>
        <w:trPr/>
        <w:tc>
          <w:tcPr>
            <w:gridSpan w:val="5"/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000" w:type="pct"/>
            <w:vAlign w:val="center"/>
            <w:textDirection w:val="lrTb"/>
            <w:noWrap w:val="false"/>
          </w:tcPr>
          <w:p>
            <w:pPr>
              <w:jc w:val="center"/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Оцінка вартості адміністративних процедур суб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’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єктів малого підприємництва щодо виконання регулювання та звітування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4" w:type="pct"/>
            <w:vAlign w:val="center"/>
            <w:textDirection w:val="lrTb"/>
            <w:noWrap w:val="false"/>
          </w:tcPr>
          <w:p>
            <w:pPr>
              <w:jc w:val="center"/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2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Процедури отримання первинної інформації про вимоги регулювання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(пошук регуляторного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акта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 мережі Інтернет та його опрацювання)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Формула: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br/>
              <w:t xml:space="preserve">витрати часу на отримання інформації про регулювання, отримання необхідних форм та заявок Х вартість часу суб'єкта малого підприємництва (заробітна плата) Х оціночна кількість форм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7" w:type="pct"/>
            <w:vAlign w:val="center"/>
            <w:textDirection w:val="lrTb"/>
            <w:noWrap w:val="false"/>
          </w:tcPr>
          <w:p>
            <w:pPr>
              <w:ind w:left="136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0,5 год. (час, який витрачається с/г на пошук нормативно-правового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акта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 мережі Інтернет та ознайомлення з ним; за результатами консультацій) х 40,46 грн = 20,23 грн.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20,23 грн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4" w:type="pct"/>
            <w:vAlign w:val="center"/>
            <w:textDirection w:val="lrTb"/>
            <w:noWrap w:val="false"/>
          </w:tcPr>
          <w:p>
            <w:pPr>
              <w:jc w:val="center"/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2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Процедури організації виконання вимог регулювання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(ознайомлення та опрацювання вимог регулювання; оформлення зміни до договору про закупівлю послуг за транспортування транспортних засобів на спеціальні майданчики чи стоянки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)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7" w:type="pct"/>
            <w:vAlign w:val="center"/>
            <w:textDirection w:val="lrTb"/>
            <w:noWrap w:val="false"/>
          </w:tcPr>
          <w:p>
            <w:pPr>
              <w:ind w:left="136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годин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(час, який витрачається на впровадження заходів з регулювання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за результатами консультацій в середньому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год на тиждень) х 40,46 грн =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0,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92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грн.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80,92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грн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4" w:type="pct"/>
            <w:vAlign w:val="center"/>
            <w:textDirection w:val="lrTb"/>
            <w:noWrap w:val="false"/>
          </w:tcPr>
          <w:p>
            <w:pPr>
              <w:jc w:val="center"/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2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Процедури офіційного звітування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 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4" w:type="pct"/>
            <w:vAlign w:val="center"/>
            <w:textDirection w:val="lrTb"/>
            <w:noWrap w:val="false"/>
          </w:tcPr>
          <w:p>
            <w:pPr>
              <w:jc w:val="center"/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2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Процедури щодо забезпечення процесу перевірок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 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4" w:type="pct"/>
            <w:vAlign w:val="center"/>
            <w:textDirection w:val="lrTb"/>
            <w:noWrap w:val="false"/>
          </w:tcPr>
          <w:p>
            <w:pPr>
              <w:jc w:val="center"/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2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Інші процедури (уточнити)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 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4" w:type="pct"/>
            <w:vAlign w:val="center"/>
            <w:textDirection w:val="lrTb"/>
            <w:noWrap w:val="false"/>
          </w:tcPr>
          <w:p>
            <w:pPr>
              <w:jc w:val="center"/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2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Разом, гривень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Формула: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br/>
              <w:t xml:space="preserve">(сума рядків 9 + 10 + 11 + 12 + 13)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1,15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грн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101,15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грн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4" w:type="pct"/>
            <w:vAlign w:val="center"/>
            <w:textDirection w:val="lrTb"/>
            <w:noWrap w:val="false"/>
          </w:tcPr>
          <w:p>
            <w:pPr>
              <w:jc w:val="center"/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25" w:type="pct"/>
            <w:vAlign w:val="center"/>
            <w:textDirection w:val="lrTb"/>
            <w:noWrap w:val="false"/>
          </w:tcPr>
          <w:p>
            <w:pPr>
              <w:spacing w:before="120" w:after="12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Кількість суб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’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єктів малого підприємництва, що повинні виконати вимоги регулювання, одиниць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 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4" w:type="pct"/>
            <w:vAlign w:val="center"/>
            <w:textDirection w:val="lrTb"/>
            <w:noWrap w:val="false"/>
          </w:tcPr>
          <w:p>
            <w:pPr>
              <w:jc w:val="center"/>
              <w:spacing w:after="16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2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Сумарно, гривень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Формула: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br/>
              <w:t xml:space="preserve">відповідний стовпчик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разом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 Х кількість суб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’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єктів малого підприємництва, що повинні виконати вимоги регулювання (рядок 14 Х рядок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15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)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28928,9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грн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8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7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28928,9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грн</w:t>
            </w:r>
            <w:r/>
          </w:p>
        </w:tc>
      </w:tr>
    </w:tbl>
    <w:p>
      <w:pPr>
        <w:jc w:val="center"/>
        <w:spacing w:before="120" w:after="12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</w:r>
      <w:r/>
    </w:p>
    <w:p>
      <w:pPr>
        <w:jc w:val="center"/>
        <w:spacing w:before="120" w:after="12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</w:r>
      <w:r/>
    </w:p>
    <w:p>
      <w:pPr>
        <w:jc w:val="center"/>
        <w:spacing w:before="120" w:after="12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Бюджетні витрати на адміністрування регулювання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суб’єктів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 малого підприємництва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Розрахунок бюджетних витрат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не здійснювався, оскільки реалізація регуляторного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акта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 не потребуватиме додаткових бюджетних витрат і ресурсів на адміністрування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 регулювання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органами виконавчої влади.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</w:r>
      <w:r/>
    </w:p>
    <w:p>
      <w:pPr>
        <w:ind w:firstLine="709"/>
        <w:jc w:val="both"/>
        <w:spacing w:after="165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4.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 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Розрахунок сумарних витрат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суб’єктів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малого підприємництва, що виникають на виконання вимог регулювання</w:t>
      </w:r>
      <w:r/>
    </w:p>
    <w:tbl>
      <w:tblPr>
        <w:tblW w:w="5000" w:type="pct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77"/>
        <w:gridCol w:w="3709"/>
        <w:gridCol w:w="2266"/>
        <w:gridCol w:w="2170"/>
      </w:tblGrid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Порядковий номер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Показник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Перший рік регулювання (стартовий)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За п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’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ять років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Оцінка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прямих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витрат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суб’єктів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малого підприємництва на виконання регулювання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–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–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Оцінка вартості адміністративних процедур для суб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’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єктів малого підприємництва щодо виконання регулювання та звітування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28928,9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грн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28928,9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грн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Сумарні витрати малого підприємництва на виконання запланованого регулювання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28928,9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грн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28928,9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грн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Бюджетні витрати на адміністрування регулювання суб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’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єктів малого підприємництва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–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–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5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Сумарні витрати на виконання запланованого регулювання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28928,9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грн</w:t>
            </w:r>
            <w:r/>
          </w:p>
        </w:tc>
        <w:tc>
          <w:tcPr>
            <w:shd w:val="clear" w:color="auto" w:fill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28928,9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грн</w:t>
            </w:r>
            <w:r/>
          </w:p>
        </w:tc>
      </w:tr>
    </w:tbl>
    <w:p>
      <w:pPr>
        <w:spacing w:after="165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</w:r>
      <w:r/>
    </w:p>
    <w:p>
      <w:pPr>
        <w:ind w:firstLine="709"/>
        <w:jc w:val="both"/>
        <w:spacing w:after="165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5.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 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Розроблення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корегуючих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(пом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’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якшувальних) заходів для малого підприємництва щодо запропонованого регулювання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Розроблення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корегуючих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 (пом’якшувальних) заходів не передбачається.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__________</w:t>
      </w:r>
      <w:bookmarkStart w:id="0" w:name="_GoBack"/>
      <w:r/>
      <w:bookmarkEnd w:id="0"/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____________</w:t>
      </w:r>
      <w:r>
        <w:rPr>
          <w:rFonts w:ascii="Times New Roman" w:hAnsi="Times New Roman" w:eastAsia="Times New Roman" w:cs="Times New Roman"/>
          <w:color w:val="293a55"/>
          <w:sz w:val="28"/>
          <w:szCs w:val="28"/>
          <w:lang w:eastAsia="uk-UA"/>
        </w:rPr>
        <w:t xml:space="preserve">______________________________________________</w:t>
      </w:r>
      <w:r/>
    </w:p>
    <w:sectPr>
      <w:headerReference w:type="default" r:id="rId8"/>
      <w:footnotePr/>
      <w:endnotePr/>
      <w:type w:val="nextPage"/>
      <w:pgSz w:w="11906" w:h="16838" w:orient="portrait"/>
      <w:pgMar w:top="709" w:right="567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926966229"/>
      <w:docPartObj>
        <w:docPartGallery w:val="Page Numbers (Top of Page)"/>
        <w:docPartUnique w:val="true"/>
      </w:docPartObj>
      <w:rPr>
        <w:rFonts w:ascii="Times New Roman" w:hAnsi="Times New Roman" w:cs="Times New Roman"/>
        <w:sz w:val="28"/>
        <w:szCs w:val="28"/>
      </w:rPr>
    </w:sdtPr>
    <w:sdtContent>
      <w:p>
        <w:pPr>
          <w:pStyle w:val="672"/>
          <w:ind w:firstLine="708"/>
          <w:jc w:val="right"/>
          <w:tabs>
            <w:tab w:val="clear" w:pos="4819" w:leader="none"/>
            <w:tab w:val="center" w:pos="4820" w:leader="none"/>
          </w:tabs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ru-RU"/>
          </w:rPr>
          <w:t xml:space="preserve"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 xml:space="preserve">Продовження додатка</w:t>
        </w:r>
        <w:r/>
      </w:p>
    </w:sdtContent>
  </w:sdt>
  <w:p>
    <w:pPr>
      <w:pStyle w:val="672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62"/>
    <w:next w:val="66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64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62"/>
    <w:next w:val="66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64"/>
    <w:link w:val="14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64"/>
    <w:link w:val="663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62"/>
    <w:next w:val="66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64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62"/>
    <w:next w:val="66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64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62"/>
    <w:next w:val="66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64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62"/>
    <w:next w:val="66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64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62"/>
    <w:next w:val="66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64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62"/>
    <w:next w:val="66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64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6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62"/>
    <w:next w:val="66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64"/>
    <w:link w:val="33"/>
    <w:uiPriority w:val="10"/>
    <w:rPr>
      <w:sz w:val="48"/>
      <w:szCs w:val="48"/>
    </w:rPr>
  </w:style>
  <w:style w:type="paragraph" w:styleId="35">
    <w:name w:val="Subtitle"/>
    <w:basedOn w:val="662"/>
    <w:next w:val="66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64"/>
    <w:link w:val="35"/>
    <w:uiPriority w:val="11"/>
    <w:rPr>
      <w:sz w:val="24"/>
      <w:szCs w:val="24"/>
    </w:rPr>
  </w:style>
  <w:style w:type="paragraph" w:styleId="37">
    <w:name w:val="Quote"/>
    <w:basedOn w:val="662"/>
    <w:next w:val="66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62"/>
    <w:next w:val="66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64"/>
    <w:link w:val="672"/>
    <w:uiPriority w:val="99"/>
  </w:style>
  <w:style w:type="character" w:styleId="44">
    <w:name w:val="Footer Char"/>
    <w:basedOn w:val="664"/>
    <w:link w:val="674"/>
    <w:uiPriority w:val="99"/>
  </w:style>
  <w:style w:type="paragraph" w:styleId="45">
    <w:name w:val="Caption"/>
    <w:basedOn w:val="662"/>
    <w:next w:val="66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74"/>
    <w:uiPriority w:val="99"/>
  </w:style>
  <w:style w:type="table" w:styleId="47">
    <w:name w:val="Table Grid"/>
    <w:basedOn w:val="66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6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6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6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6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64"/>
    <w:uiPriority w:val="99"/>
    <w:unhideWhenUsed/>
    <w:rPr>
      <w:vertAlign w:val="superscript"/>
    </w:rPr>
  </w:style>
  <w:style w:type="paragraph" w:styleId="177">
    <w:name w:val="endnote text"/>
    <w:basedOn w:val="66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64"/>
    <w:uiPriority w:val="99"/>
    <w:semiHidden/>
    <w:unhideWhenUsed/>
    <w:rPr>
      <w:vertAlign w:val="superscript"/>
    </w:rPr>
  </w:style>
  <w:style w:type="paragraph" w:styleId="180">
    <w:name w:val="toc 1"/>
    <w:basedOn w:val="662"/>
    <w:next w:val="66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62"/>
    <w:next w:val="66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62"/>
    <w:next w:val="66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62"/>
    <w:next w:val="66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62"/>
    <w:next w:val="66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62"/>
    <w:next w:val="66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62"/>
    <w:next w:val="66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62"/>
    <w:next w:val="66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62"/>
    <w:next w:val="66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62"/>
    <w:next w:val="662"/>
    <w:uiPriority w:val="99"/>
    <w:unhideWhenUsed/>
    <w:pPr>
      <w:spacing w:after="0" w:afterAutospacing="0"/>
    </w:pPr>
  </w:style>
  <w:style w:type="paragraph" w:styleId="662" w:default="1">
    <w:name w:val="Normal"/>
    <w:qFormat/>
  </w:style>
  <w:style w:type="paragraph" w:styleId="663">
    <w:name w:val="Heading 3"/>
    <w:basedOn w:val="662"/>
    <w:link w:val="667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uk-UA"/>
    </w:rPr>
  </w:style>
  <w:style w:type="character" w:styleId="664" w:default="1">
    <w:name w:val="Default Paragraph Font"/>
    <w:uiPriority w:val="1"/>
    <w:semiHidden/>
    <w:unhideWhenUsed/>
  </w:style>
  <w:style w:type="table" w:styleId="6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6" w:default="1">
    <w:name w:val="No List"/>
    <w:uiPriority w:val="99"/>
    <w:semiHidden/>
    <w:unhideWhenUsed/>
  </w:style>
  <w:style w:type="character" w:styleId="667" w:customStyle="1">
    <w:name w:val="Заголовок 3 Знак"/>
    <w:basedOn w:val="664"/>
    <w:link w:val="663"/>
    <w:uiPriority w:val="9"/>
    <w:rPr>
      <w:rFonts w:ascii="Times New Roman" w:hAnsi="Times New Roman" w:eastAsia="Times New Roman" w:cs="Times New Roman"/>
      <w:b/>
      <w:bCs/>
      <w:sz w:val="27"/>
      <w:szCs w:val="27"/>
      <w:lang w:eastAsia="uk-UA"/>
    </w:rPr>
  </w:style>
  <w:style w:type="paragraph" w:styleId="668" w:customStyle="1">
    <w:name w:val="tl"/>
    <w:basedOn w:val="66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669" w:customStyle="1">
    <w:name w:val="tj"/>
    <w:basedOn w:val="66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670" w:customStyle="1">
    <w:name w:val="tc"/>
    <w:basedOn w:val="66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character" w:styleId="671" w:customStyle="1">
    <w:name w:val="fs2"/>
    <w:basedOn w:val="664"/>
  </w:style>
  <w:style w:type="paragraph" w:styleId="672">
    <w:name w:val="Header"/>
    <w:basedOn w:val="662"/>
    <w:link w:val="673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673" w:customStyle="1">
    <w:name w:val="Верхній колонтитул Знак"/>
    <w:basedOn w:val="664"/>
    <w:link w:val="672"/>
    <w:uiPriority w:val="99"/>
  </w:style>
  <w:style w:type="paragraph" w:styleId="674">
    <w:name w:val="Footer"/>
    <w:basedOn w:val="662"/>
    <w:link w:val="675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675" w:customStyle="1">
    <w:name w:val="Нижній колонтитул Знак"/>
    <w:basedOn w:val="664"/>
    <w:link w:val="674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</dc:creator>
  <cp:keywords/>
  <dc:description/>
  <cp:lastModifiedBy>Борсук Ольга Миколаївна</cp:lastModifiedBy>
  <cp:revision>6</cp:revision>
  <dcterms:created xsi:type="dcterms:W3CDTF">2023-10-24T06:43:00Z</dcterms:created>
  <dcterms:modified xsi:type="dcterms:W3CDTF">2023-11-09T16:18:28Z</dcterms:modified>
</cp:coreProperties>
</file>