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4EEC" w14:textId="77777777" w:rsidR="00097E6B" w:rsidRPr="00EC6FE9" w:rsidRDefault="00097E6B" w:rsidP="00064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A4721F" w14:textId="46185C9A" w:rsidR="0006448A" w:rsidRPr="00EC6FE9" w:rsidRDefault="0006448A" w:rsidP="0006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E9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14:paraId="507485D3" w14:textId="22430635" w:rsidR="00A600A8" w:rsidRPr="00EC6FE9" w:rsidRDefault="00E527C6" w:rsidP="00BA2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FE9">
        <w:rPr>
          <w:rFonts w:ascii="Times New Roman" w:hAnsi="Times New Roman" w:cs="Times New Roman"/>
          <w:b/>
          <w:sz w:val="28"/>
          <w:szCs w:val="28"/>
        </w:rPr>
        <w:t xml:space="preserve">до </w:t>
      </w:r>
      <w:bookmarkStart w:id="0" w:name="_Hlk148371037"/>
      <w:r w:rsidR="0007230A" w:rsidRPr="00EC6FE9">
        <w:rPr>
          <w:rFonts w:ascii="Times New Roman" w:hAnsi="Times New Roman" w:cs="Times New Roman"/>
          <w:b/>
          <w:sz w:val="28"/>
          <w:szCs w:val="28"/>
        </w:rPr>
        <w:t xml:space="preserve">проєкту </w:t>
      </w:r>
      <w:r w:rsidR="00BC1F20" w:rsidRPr="00EC6FE9">
        <w:rPr>
          <w:rFonts w:ascii="Times New Roman" w:hAnsi="Times New Roman" w:cs="Times New Roman"/>
          <w:b/>
          <w:bCs/>
          <w:sz w:val="28"/>
          <w:szCs w:val="28"/>
        </w:rPr>
        <w:t xml:space="preserve">наказу </w:t>
      </w:r>
      <w:r w:rsidR="00BA2069" w:rsidRPr="00EC6FE9">
        <w:rPr>
          <w:rFonts w:ascii="Times New Roman" w:hAnsi="Times New Roman" w:cs="Times New Roman"/>
          <w:b/>
          <w:bCs/>
          <w:sz w:val="28"/>
          <w:szCs w:val="28"/>
        </w:rPr>
        <w:t>Міністерства внутрішніх справ України, Міністерства економіки України, Міністерства фінансів України «Про визнання таким, що втратив чинність, наказу Міністерства внутрішніх справ України, Міністерства економічного розвитку і торгівлі України та Міністерства фінансів України від 10 жовтня 2013 року</w:t>
      </w:r>
      <w:r w:rsidR="006C3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069" w:rsidRPr="00EC6FE9">
        <w:rPr>
          <w:rFonts w:ascii="Times New Roman" w:hAnsi="Times New Roman" w:cs="Times New Roman"/>
          <w:b/>
          <w:bCs/>
          <w:sz w:val="28"/>
          <w:szCs w:val="28"/>
        </w:rPr>
        <w:t>№ 967/1218/869»</w:t>
      </w:r>
    </w:p>
    <w:bookmarkEnd w:id="0"/>
    <w:p w14:paraId="21680D47" w14:textId="77777777" w:rsidR="00BA2069" w:rsidRPr="00EC6FE9" w:rsidRDefault="00BA2069" w:rsidP="00BA20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48A8CFF" w14:textId="4F8471A5" w:rsidR="00EC2621" w:rsidRPr="00EC6FE9" w:rsidRDefault="00EC2621" w:rsidP="00D23957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</w:rPr>
        <w:t>І. Проблема, яку передбачається розв’язати шляхом регулювання</w:t>
      </w:r>
    </w:p>
    <w:p w14:paraId="637E69C3" w14:textId="27E35459" w:rsidR="00DA37B5" w:rsidRPr="00EC6FE9" w:rsidRDefault="00DA37B5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підпункту 83.11 пункту 83 розділу VI Національного плану дій на 2013 рік щодо впровадження Програми економічних реформ на 2010</w:t>
      </w:r>
      <w:r w:rsidR="00B32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–2014 роки «Заможне суспільство, конкурентоспроможна економіка, ефективна держава», затвердженого Указом Президента України від 12</w:t>
      </w:r>
      <w:r w:rsidR="00DB751A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березня 2013 року </w:t>
      </w:r>
      <w:r w:rsidR="00644E2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128, та пункту 13 Порядку тимчасового затримання та зберігання транспортних засобів на спеціальних майданчиках і стоянках, затвердженого постановою Кабінету Міністрів України від</w:t>
      </w:r>
      <w:r w:rsidR="001A5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A5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грудня 2008</w:t>
      </w:r>
      <w:r w:rsidR="007A3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року №</w:t>
      </w:r>
      <w:r w:rsidR="00DB751A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1102</w:t>
      </w:r>
      <w:r w:rsidR="00DB751A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</w:t>
      </w:r>
      <w:r w:rsidR="00F15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51A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–Порядок)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10</w:t>
      </w:r>
      <w:r w:rsidR="001A5F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жовтня 2013</w:t>
      </w:r>
      <w:r w:rsidR="001A5F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року було видано наказ Міністерства внутрішніх справ України, Міністерства економічного розвитку і торгівлі України та Міністерства фінансів України від</w:t>
      </w:r>
      <w:r w:rsidR="007013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7013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жовтня 2013</w:t>
      </w:r>
      <w:r w:rsidR="007013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року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840C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967/1218/869 </w:t>
      </w:r>
      <w:r w:rsidRPr="00EC6FE9">
        <w:rPr>
          <w:rFonts w:ascii="Times New Roman" w:hAnsi="Times New Roman" w:cs="Times New Roman"/>
          <w:sz w:val="28"/>
          <w:szCs w:val="28"/>
        </w:rPr>
        <w:t>«Про затвердження розмірів плат за транспортування і зберігання тимчасово затриманих транспортних засобів на спеціальних майданчиках (стоянках)», зареєстрован</w:t>
      </w:r>
      <w:r w:rsidR="00DB751A" w:rsidRPr="00EC6FE9">
        <w:rPr>
          <w:rFonts w:ascii="Times New Roman" w:hAnsi="Times New Roman" w:cs="Times New Roman"/>
          <w:sz w:val="28"/>
          <w:szCs w:val="28"/>
        </w:rPr>
        <w:t>ий</w:t>
      </w:r>
      <w:r w:rsidRPr="00EC6FE9">
        <w:rPr>
          <w:rFonts w:ascii="Times New Roman" w:hAnsi="Times New Roman" w:cs="Times New Roman"/>
          <w:sz w:val="28"/>
          <w:szCs w:val="28"/>
        </w:rPr>
        <w:t xml:space="preserve"> </w:t>
      </w:r>
      <w:r w:rsidR="002E109B">
        <w:rPr>
          <w:rFonts w:ascii="Times New Roman" w:hAnsi="Times New Roman" w:cs="Times New Roman"/>
          <w:sz w:val="28"/>
          <w:szCs w:val="28"/>
        </w:rPr>
        <w:t>у</w:t>
      </w:r>
      <w:r w:rsidRPr="00EC6FE9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06</w:t>
      </w:r>
      <w:r w:rsidR="00DB751A" w:rsidRPr="00EC6FE9">
        <w:rPr>
          <w:rFonts w:ascii="Times New Roman" w:hAnsi="Times New Roman" w:cs="Times New Roman"/>
          <w:sz w:val="28"/>
          <w:szCs w:val="28"/>
        </w:rPr>
        <w:t> </w:t>
      </w:r>
      <w:r w:rsidRPr="00EC6FE9">
        <w:rPr>
          <w:rFonts w:ascii="Times New Roman" w:hAnsi="Times New Roman" w:cs="Times New Roman"/>
          <w:sz w:val="28"/>
          <w:szCs w:val="28"/>
        </w:rPr>
        <w:t>листопада 2013</w:t>
      </w:r>
      <w:r w:rsidR="00DB751A" w:rsidRPr="00EC6FE9">
        <w:rPr>
          <w:rFonts w:ascii="Times New Roman" w:hAnsi="Times New Roman" w:cs="Times New Roman"/>
          <w:sz w:val="28"/>
          <w:szCs w:val="28"/>
        </w:rPr>
        <w:t> </w:t>
      </w:r>
      <w:r w:rsidRPr="00EC6FE9">
        <w:rPr>
          <w:rFonts w:ascii="Times New Roman" w:hAnsi="Times New Roman" w:cs="Times New Roman"/>
          <w:sz w:val="28"/>
          <w:szCs w:val="28"/>
        </w:rPr>
        <w:t>року за №</w:t>
      </w:r>
      <w:r w:rsidR="00DB751A" w:rsidRPr="00EC6FE9">
        <w:rPr>
          <w:rFonts w:ascii="Times New Roman" w:hAnsi="Times New Roman" w:cs="Times New Roman"/>
          <w:sz w:val="28"/>
          <w:szCs w:val="28"/>
        </w:rPr>
        <w:t> </w:t>
      </w:r>
      <w:r w:rsidRPr="00EC6FE9">
        <w:rPr>
          <w:rFonts w:ascii="Times New Roman" w:hAnsi="Times New Roman" w:cs="Times New Roman"/>
          <w:sz w:val="28"/>
          <w:szCs w:val="28"/>
        </w:rPr>
        <w:t xml:space="preserve">1887/24419 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(далі – наказ 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>№ 967/1218/869</w:t>
      </w:r>
      <w:r w:rsidRPr="00EC6FE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A6C2D2" w14:textId="5AACFA43" w:rsidR="00DA37B5" w:rsidRPr="00EC6FE9" w:rsidRDefault="00DB751A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E9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 14 листопада 2018 року № 989 «Про внесення змін до постанови Кабінету Міністрів України від 17 грудня 2008 року № 1102» до Порядку внесено зміни, якими</w:t>
      </w:r>
      <w:r w:rsidR="00AF495A">
        <w:rPr>
          <w:rFonts w:ascii="Times New Roman" w:hAnsi="Times New Roman" w:cs="Times New Roman"/>
          <w:sz w:val="28"/>
          <w:szCs w:val="28"/>
        </w:rPr>
        <w:t>,</w:t>
      </w:r>
      <w:r w:rsidRPr="00EC6FE9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AF495A">
        <w:rPr>
          <w:rFonts w:ascii="Times New Roman" w:hAnsi="Times New Roman" w:cs="Times New Roman"/>
          <w:sz w:val="28"/>
          <w:szCs w:val="28"/>
        </w:rPr>
        <w:t>,</w:t>
      </w:r>
      <w:r w:rsidRPr="00EC6FE9">
        <w:rPr>
          <w:rFonts w:ascii="Times New Roman" w:hAnsi="Times New Roman" w:cs="Times New Roman"/>
          <w:sz w:val="28"/>
          <w:szCs w:val="28"/>
        </w:rPr>
        <w:t xml:space="preserve"> </w:t>
      </w:r>
      <w:r w:rsidR="00AF495A">
        <w:rPr>
          <w:rFonts w:ascii="Times New Roman" w:hAnsi="Times New Roman" w:cs="Times New Roman"/>
          <w:sz w:val="28"/>
          <w:szCs w:val="28"/>
        </w:rPr>
        <w:t>в</w:t>
      </w:r>
      <w:r w:rsidRPr="00EC6FE9">
        <w:rPr>
          <w:rFonts w:ascii="Times New Roman" w:hAnsi="Times New Roman" w:cs="Times New Roman"/>
          <w:sz w:val="28"/>
          <w:szCs w:val="28"/>
        </w:rPr>
        <w:t xml:space="preserve"> абзаці першому пункту 13 суб’єкт</w:t>
      </w:r>
      <w:r w:rsidR="00017103">
        <w:rPr>
          <w:rFonts w:ascii="Times New Roman" w:hAnsi="Times New Roman" w:cs="Times New Roman"/>
          <w:sz w:val="28"/>
          <w:szCs w:val="28"/>
        </w:rPr>
        <w:t>ів</w:t>
      </w:r>
      <w:r w:rsidRPr="00EC6FE9">
        <w:rPr>
          <w:rFonts w:ascii="Times New Roman" w:hAnsi="Times New Roman" w:cs="Times New Roman"/>
          <w:sz w:val="28"/>
          <w:szCs w:val="28"/>
        </w:rPr>
        <w:t>, уповноважен</w:t>
      </w:r>
      <w:r w:rsidR="00C55D32">
        <w:rPr>
          <w:rFonts w:ascii="Times New Roman" w:hAnsi="Times New Roman" w:cs="Times New Roman"/>
          <w:sz w:val="28"/>
          <w:szCs w:val="28"/>
        </w:rPr>
        <w:t>их</w:t>
      </w:r>
      <w:r w:rsidRPr="00EC6FE9">
        <w:rPr>
          <w:rFonts w:ascii="Times New Roman" w:hAnsi="Times New Roman" w:cs="Times New Roman"/>
          <w:sz w:val="28"/>
          <w:szCs w:val="28"/>
        </w:rPr>
        <w:t xml:space="preserve"> на визначення розмірів плат</w:t>
      </w:r>
      <w:r w:rsidR="005B4F2F">
        <w:rPr>
          <w:rFonts w:ascii="Times New Roman" w:hAnsi="Times New Roman" w:cs="Times New Roman"/>
          <w:sz w:val="28"/>
          <w:szCs w:val="28"/>
        </w:rPr>
        <w:t>,</w:t>
      </w:r>
      <w:r w:rsidRPr="00EC6FE9">
        <w:rPr>
          <w:rFonts w:ascii="Times New Roman" w:hAnsi="Times New Roman" w:cs="Times New Roman"/>
          <w:sz w:val="28"/>
          <w:szCs w:val="28"/>
        </w:rPr>
        <w:t xml:space="preserve"> – МВС, Мінфін та Мінекономіки змінено на МВС та </w:t>
      </w:r>
      <w:proofErr w:type="spellStart"/>
      <w:r w:rsidRPr="00EC6FE9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EC6FE9">
        <w:rPr>
          <w:rFonts w:ascii="Times New Roman" w:hAnsi="Times New Roman" w:cs="Times New Roman"/>
          <w:sz w:val="28"/>
          <w:szCs w:val="28"/>
        </w:rPr>
        <w:t xml:space="preserve"> за погодженням з Мінфіном.</w:t>
      </w:r>
    </w:p>
    <w:p w14:paraId="2B1433AB" w14:textId="47D0DBE7" w:rsidR="00167FB9" w:rsidRPr="00DE2530" w:rsidRDefault="00167FB9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0F52B1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6D3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0F52B1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цим 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>наказ № 967/</w:t>
      </w:r>
      <w:r w:rsidR="00DB751A" w:rsidRPr="00DE2530">
        <w:rPr>
          <w:rFonts w:ascii="Times New Roman" w:hAnsi="Times New Roman"/>
          <w:sz w:val="28"/>
          <w:szCs w:val="28"/>
          <w:shd w:val="clear" w:color="auto" w:fill="FFFFFF"/>
        </w:rPr>
        <w:t xml:space="preserve">1218/869 </w:t>
      </w:r>
      <w:r w:rsidRPr="00DE2530">
        <w:rPr>
          <w:rFonts w:ascii="Times New Roman" w:hAnsi="Times New Roman"/>
          <w:sz w:val="28"/>
          <w:szCs w:val="28"/>
          <w:shd w:val="clear" w:color="auto" w:fill="FFFFFF"/>
        </w:rPr>
        <w:t xml:space="preserve">не відповідає вимогам </w:t>
      </w:r>
      <w:r w:rsidR="00B52A94" w:rsidRPr="00DE2530">
        <w:rPr>
          <w:rFonts w:ascii="Times New Roman" w:hAnsi="Times New Roman"/>
          <w:sz w:val="28"/>
          <w:szCs w:val="28"/>
          <w:shd w:val="clear" w:color="auto" w:fill="FFFFFF"/>
        </w:rPr>
        <w:t xml:space="preserve">чинної редакції </w:t>
      </w:r>
      <w:r w:rsidR="00CE594C" w:rsidRPr="00DE2530">
        <w:rPr>
          <w:rFonts w:ascii="Times New Roman" w:hAnsi="Times New Roman" w:cs="Times New Roman"/>
          <w:sz w:val="28"/>
          <w:szCs w:val="28"/>
        </w:rPr>
        <w:t>Порядку</w:t>
      </w:r>
      <w:r w:rsidRPr="00DE25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5928630" w14:textId="14761544" w:rsidR="00DB751A" w:rsidRPr="00EC6FE9" w:rsidRDefault="004276D3" w:rsidP="00D239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F52B1" w:rsidRPr="00DE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рім того, </w:t>
      </w:r>
      <w:r w:rsidR="003D157E" w:rsidRPr="00DE2530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затверджені </w:t>
      </w:r>
      <w:r w:rsidR="00DB751A" w:rsidRPr="00DE2530">
        <w:rPr>
          <w:rFonts w:ascii="Times New Roman" w:hAnsi="Times New Roman" w:cs="Times New Roman"/>
          <w:sz w:val="28"/>
          <w:szCs w:val="28"/>
        </w:rPr>
        <w:t>наказом</w:t>
      </w:r>
      <w:r w:rsidR="00DB751A" w:rsidRPr="00EC6FE9">
        <w:rPr>
          <w:rFonts w:ascii="Times New Roman" w:hAnsi="Times New Roman" w:cs="Times New Roman"/>
          <w:sz w:val="28"/>
          <w:szCs w:val="28"/>
        </w:rPr>
        <w:t xml:space="preserve"> 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№ 967/1218/869 </w:t>
      </w:r>
      <w:r w:rsidR="00C77F35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розміри плат за транспортування і зберігання тимчасово затриманих транспортних засобів на спеціальних майданчиках (стоянках)</w:t>
      </w:r>
      <w:r w:rsidR="00C77F35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157E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не переглядалися </w:t>
      </w:r>
      <w:r w:rsidR="00EA7760">
        <w:rPr>
          <w:rFonts w:ascii="Times New Roman" w:hAnsi="Times New Roman"/>
          <w:sz w:val="28"/>
          <w:szCs w:val="28"/>
          <w:shd w:val="clear" w:color="auto" w:fill="FFFFFF"/>
        </w:rPr>
        <w:t xml:space="preserve">понад </w:t>
      </w:r>
      <w:r w:rsidR="003D157E" w:rsidRPr="00EC6FE9">
        <w:rPr>
          <w:rFonts w:ascii="Times New Roman" w:hAnsi="Times New Roman"/>
          <w:sz w:val="28"/>
          <w:szCs w:val="28"/>
          <w:shd w:val="clear" w:color="auto" w:fill="FFFFFF"/>
        </w:rPr>
        <w:t>дев’ят</w:t>
      </w:r>
      <w:r w:rsidR="00EA776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3D157E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років, їх рівень не відповідає економічно обґрунтованим витратам надання цих послуг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874C9">
        <w:rPr>
          <w:rFonts w:ascii="Times New Roman" w:hAnsi="Times New Roman"/>
          <w:sz w:val="28"/>
          <w:szCs w:val="28"/>
          <w:shd w:val="clear" w:color="auto" w:fill="FFFFFF"/>
        </w:rPr>
        <w:t xml:space="preserve">через що вони 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>потребують перегляду в бік збільшення та затвердження в установленому порядку.</w:t>
      </w:r>
    </w:p>
    <w:p w14:paraId="79DD5D22" w14:textId="5D54620E" w:rsidR="003D157E" w:rsidRPr="00EC6FE9" w:rsidRDefault="00C77F35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</w:t>
      </w:r>
      <w:r w:rsidR="00561F2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цим МВС має спільно з Мінекономіки за погодженням </w:t>
      </w:r>
      <w:r w:rsidR="0045583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Мінфіном забезпечити розроблення та </w:t>
      </w:r>
      <w:r w:rsidR="004B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видання 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наказу, яким буд</w:t>
      </w:r>
      <w:r w:rsidR="005264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встановлен</w:t>
      </w:r>
      <w:r w:rsidR="004558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2B1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розміри </w:t>
      </w:r>
      <w:r w:rsidR="003D157E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 за транспортування і зберігання тимчасово затриманих транспортних засобів на </w:t>
      </w:r>
      <w:r w:rsidR="003D157E" w:rsidRPr="00EC6FE9">
        <w:rPr>
          <w:rFonts w:ascii="Times New Roman" w:hAnsi="Times New Roman" w:cs="Times New Roman"/>
          <w:sz w:val="28"/>
          <w:szCs w:val="28"/>
        </w:rPr>
        <w:t xml:space="preserve">спеціальних майданчиках </w:t>
      </w:r>
      <w:r w:rsidR="000F52B1" w:rsidRPr="00EC6FE9">
        <w:rPr>
          <w:rFonts w:ascii="Times New Roman" w:hAnsi="Times New Roman" w:cs="Times New Roman"/>
          <w:sz w:val="28"/>
          <w:szCs w:val="28"/>
        </w:rPr>
        <w:t>(</w:t>
      </w:r>
      <w:r w:rsidR="003D157E" w:rsidRPr="00EC6FE9">
        <w:rPr>
          <w:rFonts w:ascii="Times New Roman" w:hAnsi="Times New Roman" w:cs="Times New Roman"/>
          <w:sz w:val="28"/>
          <w:szCs w:val="28"/>
        </w:rPr>
        <w:t>стоянках</w:t>
      </w:r>
      <w:r w:rsidR="000F52B1" w:rsidRPr="00EC6FE9">
        <w:rPr>
          <w:rFonts w:ascii="Times New Roman" w:hAnsi="Times New Roman" w:cs="Times New Roman"/>
          <w:sz w:val="28"/>
          <w:szCs w:val="28"/>
        </w:rPr>
        <w:t xml:space="preserve">), а </w:t>
      </w:r>
      <w:r w:rsidR="00DB751A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наказ № 967/1218/869 </w:t>
      </w:r>
      <w:r w:rsidR="000F52B1" w:rsidRPr="00EC6FE9">
        <w:rPr>
          <w:rFonts w:ascii="Times New Roman" w:hAnsi="Times New Roman"/>
          <w:sz w:val="28"/>
          <w:szCs w:val="28"/>
          <w:shd w:val="clear" w:color="auto" w:fill="FFFFFF"/>
        </w:rPr>
        <w:t>бу</w:t>
      </w:r>
      <w:r w:rsidR="00D75DC6">
        <w:rPr>
          <w:rFonts w:ascii="Times New Roman" w:hAnsi="Times New Roman"/>
          <w:sz w:val="28"/>
          <w:szCs w:val="28"/>
          <w:shd w:val="clear" w:color="auto" w:fill="FFFFFF"/>
        </w:rPr>
        <w:t>де</w:t>
      </w:r>
      <w:r w:rsidR="000F52B1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визнан</w:t>
      </w:r>
      <w:r w:rsidR="00533FC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F52B1" w:rsidRPr="00EC6FE9">
        <w:rPr>
          <w:rFonts w:ascii="Times New Roman" w:hAnsi="Times New Roman"/>
          <w:sz w:val="28"/>
          <w:szCs w:val="28"/>
          <w:shd w:val="clear" w:color="auto" w:fill="FFFFFF"/>
        </w:rPr>
        <w:t xml:space="preserve"> таким, що втратив чинність. </w:t>
      </w:r>
    </w:p>
    <w:p w14:paraId="1F6E39C0" w14:textId="29212132" w:rsidR="003D157E" w:rsidRPr="00DE2530" w:rsidRDefault="00DA37B5" w:rsidP="00D2395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EC6FE9">
        <w:rPr>
          <w:rFonts w:ascii="Times New Roman" w:hAnsi="Times New Roman" w:cs="Times New Roman"/>
          <w:spacing w:val="-2"/>
          <w:sz w:val="28"/>
          <w:szCs w:val="28"/>
        </w:rPr>
        <w:t xml:space="preserve">Отже, з метою приведення наказу </w:t>
      </w:r>
      <w:r w:rsidR="00DB751A" w:rsidRPr="00EC6FE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№ 967/1218/</w:t>
      </w:r>
      <w:r w:rsidR="00DB751A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869 </w:t>
      </w:r>
      <w:r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у відповідність до </w:t>
      </w:r>
      <w:r w:rsidR="00CE594C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вимог </w:t>
      </w:r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абзацу першого пункту 13 </w:t>
      </w:r>
      <w:r w:rsidR="00CE594C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Порядку</w:t>
      </w:r>
      <w:r w:rsidR="00B52A94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(і</w:t>
      </w:r>
      <w:r w:rsidR="004A024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</w:t>
      </w:r>
      <w:r w:rsidR="00B52A94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змінами)</w:t>
      </w:r>
      <w:r w:rsidR="00CE594C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Національною поліцією України розроблено </w:t>
      </w:r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проєкт наказу Міністерства внутрішніх справ України, Міністерства економіки України, Міністерства фінансів України «Про визнання таким, що втратив чинність, наказу Міністерства внутрішніх справ України, Міністерства </w:t>
      </w:r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lastRenderedPageBreak/>
        <w:t>економічного розвитку і торгівлі України та Міністерства фінансів України від 10 жовтня 2013 року</w:t>
      </w:r>
      <w:r w:rsidR="00246B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№ 967/1218/869» (далі – </w:t>
      </w:r>
      <w:proofErr w:type="spellStart"/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t>проєкт</w:t>
      </w:r>
      <w:proofErr w:type="spellEnd"/>
      <w:r w:rsidR="00CE594C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 наказу).</w:t>
      </w:r>
    </w:p>
    <w:p w14:paraId="33AF7FBA" w14:textId="502F186C" w:rsidR="00E310EF" w:rsidRPr="00DE2530" w:rsidRDefault="00E310EF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Досягти поставленої мети </w:t>
      </w:r>
      <w:r w:rsidR="001C109E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пропонується шляхом </w:t>
      </w:r>
      <w:r w:rsidR="004B3102">
        <w:rPr>
          <w:rFonts w:ascii="Times New Roman" w:hAnsi="Times New Roman" w:cs="Times New Roman"/>
          <w:spacing w:val="-2"/>
          <w:sz w:val="28"/>
          <w:szCs w:val="28"/>
        </w:rPr>
        <w:t>видання</w:t>
      </w:r>
      <w:r w:rsidR="001C109E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C109E" w:rsidRPr="00DE2530">
        <w:rPr>
          <w:rFonts w:ascii="Times New Roman" w:hAnsi="Times New Roman" w:cs="Times New Roman"/>
          <w:spacing w:val="-2"/>
          <w:sz w:val="28"/>
          <w:szCs w:val="28"/>
        </w:rPr>
        <w:t>проєкту</w:t>
      </w:r>
      <w:proofErr w:type="spellEnd"/>
      <w:r w:rsidR="001C109E" w:rsidRPr="00DE2530">
        <w:rPr>
          <w:rFonts w:ascii="Times New Roman" w:hAnsi="Times New Roman" w:cs="Times New Roman"/>
          <w:spacing w:val="-2"/>
          <w:sz w:val="28"/>
          <w:szCs w:val="28"/>
        </w:rPr>
        <w:t xml:space="preserve"> наказу.</w:t>
      </w:r>
    </w:p>
    <w:p w14:paraId="6BCBAFBA" w14:textId="11D3A702" w:rsidR="00E310EF" w:rsidRPr="00E25423" w:rsidRDefault="00CE594C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530">
        <w:rPr>
          <w:rFonts w:ascii="Times New Roman" w:hAnsi="Times New Roman" w:cs="Times New Roman"/>
          <w:sz w:val="28"/>
          <w:szCs w:val="28"/>
        </w:rPr>
        <w:t>Водночас</w:t>
      </w:r>
      <w:r w:rsidR="00E310EF" w:rsidRPr="00DE2530">
        <w:rPr>
          <w:rFonts w:ascii="Times New Roman" w:hAnsi="Times New Roman" w:cs="Times New Roman"/>
          <w:sz w:val="28"/>
          <w:szCs w:val="28"/>
        </w:rPr>
        <w:t xml:space="preserve"> слід зазначити, що </w:t>
      </w:r>
      <w:r w:rsidR="00644E20" w:rsidRPr="00DE2530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Національною поліцією України </w:t>
      </w:r>
      <w:r w:rsidR="00E310EF" w:rsidRPr="00DE2530">
        <w:rPr>
          <w:rFonts w:ascii="Times New Roman" w:hAnsi="Times New Roman" w:cs="Times New Roman"/>
          <w:sz w:val="28"/>
          <w:szCs w:val="28"/>
        </w:rPr>
        <w:t xml:space="preserve">розроблено проєкт наказу Міністерства внутрішніх справ України, Міністерства економіки </w:t>
      </w:r>
      <w:r w:rsidR="00E310EF" w:rsidRPr="00EC6FE9">
        <w:rPr>
          <w:rFonts w:ascii="Times New Roman" w:hAnsi="Times New Roman" w:cs="Times New Roman"/>
          <w:sz w:val="28"/>
          <w:szCs w:val="28"/>
        </w:rPr>
        <w:t xml:space="preserve">України «Про затвердження Розмірів плат за транспортування і зберігання тимчасово затриманих </w:t>
      </w:r>
      <w:r w:rsidR="00E310EF" w:rsidRPr="00E25423">
        <w:rPr>
          <w:rFonts w:ascii="Times New Roman" w:hAnsi="Times New Roman" w:cs="Times New Roman"/>
          <w:sz w:val="28"/>
          <w:szCs w:val="28"/>
        </w:rPr>
        <w:t xml:space="preserve">транспортних засобів на спеціальних майданчиках чи стоянках», яким передбачається </w:t>
      </w:r>
      <w:r w:rsidR="006C7940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E310EF" w:rsidRPr="00E25423">
        <w:rPr>
          <w:rFonts w:ascii="Times New Roman" w:hAnsi="Times New Roman" w:cs="Times New Roman"/>
          <w:sz w:val="28"/>
          <w:szCs w:val="28"/>
        </w:rPr>
        <w:t>Розмір</w:t>
      </w:r>
      <w:r w:rsidR="003C2F02">
        <w:rPr>
          <w:rFonts w:ascii="Times New Roman" w:hAnsi="Times New Roman" w:cs="Times New Roman"/>
          <w:sz w:val="28"/>
          <w:szCs w:val="28"/>
        </w:rPr>
        <w:t>и</w:t>
      </w:r>
      <w:r w:rsidR="00E310EF" w:rsidRPr="00E25423">
        <w:rPr>
          <w:rFonts w:ascii="Times New Roman" w:hAnsi="Times New Roman" w:cs="Times New Roman"/>
          <w:sz w:val="28"/>
          <w:szCs w:val="28"/>
        </w:rPr>
        <w:t xml:space="preserve"> плат за транспортування і зберігання тимчасово затриманих транспортних засобів на спеціальних майданчиках чи стоянках</w:t>
      </w:r>
      <w:r w:rsidR="00CE4118" w:rsidRPr="00E25423">
        <w:rPr>
          <w:rFonts w:ascii="Times New Roman" w:hAnsi="Times New Roman" w:cs="Times New Roman"/>
          <w:sz w:val="28"/>
          <w:szCs w:val="28"/>
        </w:rPr>
        <w:t xml:space="preserve"> із підвищенням </w:t>
      </w:r>
      <w:r w:rsidR="00EC6FE9" w:rsidRPr="00E25423">
        <w:rPr>
          <w:rFonts w:ascii="Times New Roman" w:hAnsi="Times New Roman" w:cs="Times New Roman"/>
          <w:sz w:val="28"/>
          <w:szCs w:val="28"/>
        </w:rPr>
        <w:t xml:space="preserve">їх </w:t>
      </w:r>
      <w:r w:rsidR="00CE4118" w:rsidRPr="00E25423">
        <w:rPr>
          <w:rFonts w:ascii="Times New Roman" w:hAnsi="Times New Roman" w:cs="Times New Roman"/>
          <w:sz w:val="28"/>
          <w:szCs w:val="28"/>
        </w:rPr>
        <w:t xml:space="preserve">рівня </w:t>
      </w:r>
      <w:r w:rsidR="007D531A">
        <w:rPr>
          <w:rFonts w:ascii="Times New Roman" w:hAnsi="Times New Roman" w:cs="Times New Roman"/>
          <w:sz w:val="28"/>
          <w:szCs w:val="28"/>
        </w:rPr>
        <w:t>в</w:t>
      </w:r>
      <w:r w:rsidR="00CE4118" w:rsidRPr="00E25423">
        <w:rPr>
          <w:rFonts w:ascii="Times New Roman" w:hAnsi="Times New Roman" w:cs="Times New Roman"/>
          <w:sz w:val="28"/>
          <w:szCs w:val="28"/>
        </w:rPr>
        <w:t xml:space="preserve"> середньому у 2,3 раз</w:t>
      </w:r>
      <w:r w:rsidR="00192C9F">
        <w:rPr>
          <w:rFonts w:ascii="Times New Roman" w:hAnsi="Times New Roman" w:cs="Times New Roman"/>
          <w:sz w:val="28"/>
          <w:szCs w:val="28"/>
        </w:rPr>
        <w:t>а</w:t>
      </w:r>
      <w:r w:rsidR="00CE4118" w:rsidRPr="00E25423">
        <w:rPr>
          <w:rFonts w:ascii="Times New Roman" w:hAnsi="Times New Roman" w:cs="Times New Roman"/>
          <w:sz w:val="28"/>
          <w:szCs w:val="28"/>
        </w:rPr>
        <w:t xml:space="preserve"> </w:t>
      </w:r>
      <w:r w:rsidR="003345FA">
        <w:rPr>
          <w:rFonts w:ascii="Times New Roman" w:hAnsi="Times New Roman" w:cs="Times New Roman"/>
          <w:sz w:val="28"/>
          <w:szCs w:val="28"/>
        </w:rPr>
        <w:t xml:space="preserve">щодо </w:t>
      </w:r>
      <w:r w:rsidR="00CE4118" w:rsidRPr="00E25423">
        <w:rPr>
          <w:rFonts w:ascii="Times New Roman" w:hAnsi="Times New Roman" w:cs="Times New Roman"/>
          <w:sz w:val="28"/>
          <w:szCs w:val="28"/>
        </w:rPr>
        <w:t>рівня 2013 року</w:t>
      </w:r>
      <w:r w:rsidR="00E310EF" w:rsidRPr="00E25423">
        <w:rPr>
          <w:rFonts w:ascii="Times New Roman" w:hAnsi="Times New Roman" w:cs="Times New Roman"/>
          <w:sz w:val="28"/>
          <w:szCs w:val="28"/>
        </w:rPr>
        <w:t>.</w:t>
      </w:r>
    </w:p>
    <w:p w14:paraId="1CF22392" w14:textId="77777777" w:rsidR="007F7EA8" w:rsidRPr="00EC6FE9" w:rsidRDefault="007F7EA8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5FF85" w14:textId="7824534E" w:rsidR="0020050E" w:rsidRPr="00EC6FE9" w:rsidRDefault="007E43E4" w:rsidP="00D23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Основні групи (підгрупи), на які проблема впливає:</w:t>
      </w:r>
    </w:p>
    <w:p w14:paraId="249CDA8A" w14:textId="77777777" w:rsidR="007E43E4" w:rsidRPr="00EC6FE9" w:rsidRDefault="007E43E4" w:rsidP="00E67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A73602" w:rsidRPr="00EC6FE9" w14:paraId="6214E9DE" w14:textId="77777777" w:rsidTr="00881AEB">
        <w:tc>
          <w:tcPr>
            <w:tcW w:w="6516" w:type="dxa"/>
          </w:tcPr>
          <w:p w14:paraId="6057F8D3" w14:textId="77777777" w:rsidR="0006448A" w:rsidRPr="00EC6FE9" w:rsidRDefault="0006448A" w:rsidP="00DF1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Групи (підгрупи)</w:t>
            </w:r>
          </w:p>
        </w:tc>
        <w:tc>
          <w:tcPr>
            <w:tcW w:w="1559" w:type="dxa"/>
          </w:tcPr>
          <w:p w14:paraId="29F19331" w14:textId="77777777" w:rsidR="0006448A" w:rsidRPr="00EC6FE9" w:rsidRDefault="0006448A" w:rsidP="00DF1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1559" w:type="dxa"/>
          </w:tcPr>
          <w:p w14:paraId="33A87ECA" w14:textId="77777777" w:rsidR="0006448A" w:rsidRPr="00EC6FE9" w:rsidRDefault="0006448A" w:rsidP="00DF17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Ні</w:t>
            </w:r>
          </w:p>
        </w:tc>
      </w:tr>
      <w:tr w:rsidR="00A73602" w:rsidRPr="00EC6FE9" w14:paraId="52318A1C" w14:textId="77777777" w:rsidTr="00881AEB">
        <w:tc>
          <w:tcPr>
            <w:tcW w:w="6516" w:type="dxa"/>
          </w:tcPr>
          <w:p w14:paraId="575CC55C" w14:textId="0E68F3B1" w:rsidR="0006448A" w:rsidRPr="00EC6FE9" w:rsidRDefault="0006448A" w:rsidP="00DF1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Громадяни</w:t>
            </w:r>
            <w:r w:rsidR="00547904"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D0C40DA" w14:textId="08FF6F72" w:rsidR="0006448A" w:rsidRPr="00EC6FE9" w:rsidRDefault="00E25423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A20AA48" w14:textId="745D1356" w:rsidR="0006448A" w:rsidRPr="00EC6FE9" w:rsidRDefault="00E25423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</w:tr>
      <w:tr w:rsidR="00A73602" w:rsidRPr="00EC6FE9" w14:paraId="4033FCF1" w14:textId="77777777" w:rsidTr="00881AEB">
        <w:tc>
          <w:tcPr>
            <w:tcW w:w="6516" w:type="dxa"/>
          </w:tcPr>
          <w:p w14:paraId="518C3B0C" w14:textId="77777777" w:rsidR="0006448A" w:rsidRPr="00EC6FE9" w:rsidRDefault="0006448A" w:rsidP="00DF1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Держава</w:t>
            </w:r>
          </w:p>
        </w:tc>
        <w:tc>
          <w:tcPr>
            <w:tcW w:w="1559" w:type="dxa"/>
          </w:tcPr>
          <w:p w14:paraId="0BC22443" w14:textId="77777777" w:rsidR="0006448A" w:rsidRPr="00EC6FE9" w:rsidRDefault="0006448A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1F5DD35" w14:textId="77777777" w:rsidR="0006448A" w:rsidRPr="00EC6FE9" w:rsidRDefault="009A21D3" w:rsidP="009A2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</w:tr>
      <w:tr w:rsidR="00A73602" w:rsidRPr="00EC6FE9" w14:paraId="4DCA6945" w14:textId="77777777" w:rsidTr="00881AEB">
        <w:tc>
          <w:tcPr>
            <w:tcW w:w="6516" w:type="dxa"/>
          </w:tcPr>
          <w:p w14:paraId="257B765B" w14:textId="42C38D91" w:rsidR="0006448A" w:rsidRPr="00EC6FE9" w:rsidRDefault="0006448A" w:rsidP="00DF1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1559" w:type="dxa"/>
          </w:tcPr>
          <w:p w14:paraId="0C783B82" w14:textId="77777777" w:rsidR="0006448A" w:rsidRPr="00EC6FE9" w:rsidRDefault="0006448A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B8F9169" w14:textId="77777777" w:rsidR="0006448A" w:rsidRPr="00EC6FE9" w:rsidRDefault="009A21D3" w:rsidP="009A2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</w:tr>
      <w:tr w:rsidR="0006448A" w:rsidRPr="00EC6FE9" w14:paraId="428EE865" w14:textId="77777777" w:rsidTr="00881AEB">
        <w:tc>
          <w:tcPr>
            <w:tcW w:w="6516" w:type="dxa"/>
          </w:tcPr>
          <w:p w14:paraId="69356D48" w14:textId="7793532F" w:rsidR="0006448A" w:rsidRPr="00EC6FE9" w:rsidRDefault="0006448A" w:rsidP="00DF17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тому числі </w:t>
            </w:r>
            <w:r w:rsid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суб’єкт</w:t>
            </w: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малого підприємництва</w:t>
            </w:r>
          </w:p>
        </w:tc>
        <w:tc>
          <w:tcPr>
            <w:tcW w:w="1559" w:type="dxa"/>
          </w:tcPr>
          <w:p w14:paraId="41AE4E9B" w14:textId="77777777" w:rsidR="0006448A" w:rsidRPr="00EC6FE9" w:rsidRDefault="0011146E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70A55EA" w14:textId="77777777" w:rsidR="0006448A" w:rsidRPr="00EC6FE9" w:rsidRDefault="009A21D3" w:rsidP="00DF1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</w:tr>
    </w:tbl>
    <w:p w14:paraId="0D02BD33" w14:textId="77777777" w:rsidR="009E587E" w:rsidRPr="00EC6FE9" w:rsidRDefault="009E587E" w:rsidP="00D7161B">
      <w:pPr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FA5722" w14:textId="5A406B77" w:rsidR="00EC6FE9" w:rsidRPr="00EC6FE9" w:rsidRDefault="00D7161B" w:rsidP="00D2395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Проблема, яку пропонується </w:t>
      </w:r>
      <w:r w:rsidR="00673951"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>вирішити</w:t>
      </w:r>
      <w:r w:rsidR="00AA12BF"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49B"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>шляхом</w:t>
      </w:r>
      <w:r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102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 xml:space="preserve">видання </w:t>
      </w:r>
      <w:proofErr w:type="spellStart"/>
      <w:r w:rsidR="00AB6ED5" w:rsidRPr="00B52A94">
        <w:rPr>
          <w:rStyle w:val="rvts23"/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73951" w:rsidRPr="00B52A94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B52A94">
        <w:rPr>
          <w:rStyle w:val="rvts23"/>
          <w:rFonts w:ascii="Times New Roman" w:hAnsi="Times New Roman" w:cs="Times New Roman"/>
          <w:sz w:val="28"/>
          <w:szCs w:val="28"/>
        </w:rPr>
        <w:t>наказу</w:t>
      </w:r>
      <w:r w:rsidRPr="00EC6FE9">
        <w:rPr>
          <w:rFonts w:ascii="Times New Roman" w:hAnsi="Times New Roman"/>
          <w:color w:val="000000" w:themeColor="text1"/>
          <w:sz w:val="28"/>
          <w:szCs w:val="28"/>
        </w:rPr>
        <w:t xml:space="preserve">, важлива і не може бути розв’язана за допомогою ринкових механізмів, оскільки </w:t>
      </w:r>
      <w:r w:rsidR="00EC6FE9" w:rsidRPr="00EC6FE9">
        <w:rPr>
          <w:rFonts w:ascii="Times New Roman" w:hAnsi="Times New Roman"/>
          <w:color w:val="000000" w:themeColor="text1"/>
          <w:sz w:val="28"/>
          <w:szCs w:val="28"/>
        </w:rPr>
        <w:t>відповідні механізми відсутні, її можливо розв’язати лише шляхом запровадження державного регулювання та/або за допомогою чинних регуляторних актів, оскільки положення підзаконних нормативно-правових актів потребують приведення у відповідність до чинного законодавства.</w:t>
      </w:r>
    </w:p>
    <w:p w14:paraId="07F35144" w14:textId="77777777" w:rsidR="009B43AC" w:rsidRPr="00EC6FE9" w:rsidRDefault="009B43AC" w:rsidP="00871C9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7E34595" w14:textId="3BD3AFFA" w:rsidR="0006448A" w:rsidRPr="00EC6FE9" w:rsidRDefault="00871C95" w:rsidP="00D36B9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C6FE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ІІ. Цілі державного регулювання</w:t>
      </w:r>
    </w:p>
    <w:p w14:paraId="54F137D9" w14:textId="0CCCCFFF" w:rsidR="0006448A" w:rsidRPr="00EC6FE9" w:rsidRDefault="00EC6FE9" w:rsidP="00D36B96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>Ціл</w:t>
      </w:r>
      <w:r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  <w:t xml:space="preserve">лю державного регулювання є приведення нормативно-правового акта </w:t>
      </w:r>
      <w:r w:rsidR="00B3176D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3176D" w:rsidRPr="00644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відповідність до </w:t>
      </w:r>
      <w:r w:rsidR="005948D6" w:rsidRPr="00644E20">
        <w:rPr>
          <w:rFonts w:ascii="Times New Roman" w:hAnsi="Times New Roman" w:cs="Times New Roman"/>
          <w:color w:val="000000" w:themeColor="text1"/>
          <w:sz w:val="28"/>
          <w:szCs w:val="28"/>
        </w:rPr>
        <w:t>вимог Порядку</w:t>
      </w:r>
      <w:r w:rsidR="00303408" w:rsidRPr="00644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2B732E" w14:textId="77777777" w:rsidR="00B2029F" w:rsidRPr="00EC6FE9" w:rsidRDefault="00B2029F" w:rsidP="00D36B96">
      <w:pPr>
        <w:spacing w:after="0" w:line="240" w:lineRule="auto"/>
        <w:ind w:firstLine="567"/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18E8C7D" w14:textId="76C7B642" w:rsidR="0006448A" w:rsidRPr="00EC6FE9" w:rsidRDefault="0006448A" w:rsidP="00D36B96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III. Визначення та оцінка альтернативних способів досягнення цілей</w:t>
      </w:r>
    </w:p>
    <w:p w14:paraId="1D57B40F" w14:textId="58EEBFD9" w:rsidR="0006448A" w:rsidRPr="004F0FFA" w:rsidRDefault="00D23957" w:rsidP="004F0FFA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3957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6448A" w:rsidRPr="00D23957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Визначення альтернативних способів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7129"/>
      </w:tblGrid>
      <w:tr w:rsidR="00A73602" w:rsidRPr="00EC6FE9" w14:paraId="518D7EF9" w14:textId="77777777" w:rsidTr="00DF17A3">
        <w:tc>
          <w:tcPr>
            <w:tcW w:w="2518" w:type="dxa"/>
          </w:tcPr>
          <w:p w14:paraId="48A35799" w14:textId="77777777" w:rsidR="0006448A" w:rsidRPr="005948D6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48D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7336" w:type="dxa"/>
          </w:tcPr>
          <w:p w14:paraId="3D64729B" w14:textId="77777777" w:rsidR="0006448A" w:rsidRPr="005948D6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48D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Опис альтернативи</w:t>
            </w:r>
          </w:p>
        </w:tc>
      </w:tr>
      <w:tr w:rsidR="00A73602" w:rsidRPr="00EC6FE9" w14:paraId="230BE58C" w14:textId="77777777" w:rsidTr="00972B77">
        <w:trPr>
          <w:trHeight w:val="1098"/>
        </w:trPr>
        <w:tc>
          <w:tcPr>
            <w:tcW w:w="2518" w:type="dxa"/>
          </w:tcPr>
          <w:p w14:paraId="5EBB8337" w14:textId="30456DE3" w:rsidR="0006448A" w:rsidRPr="00EC6FE9" w:rsidRDefault="0006448A" w:rsidP="00DF17A3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1</w:t>
            </w:r>
          </w:p>
          <w:p w14:paraId="3C4CE80E" w14:textId="6C82AC60" w:rsidR="001916D0" w:rsidRPr="00F95BC2" w:rsidRDefault="00F95BC2" w:rsidP="0093091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95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(залишення ситуації без змін)</w:t>
            </w:r>
          </w:p>
        </w:tc>
        <w:tc>
          <w:tcPr>
            <w:tcW w:w="7336" w:type="dxa"/>
          </w:tcPr>
          <w:p w14:paraId="46396607" w14:textId="5700EDB3" w:rsidR="006963CE" w:rsidRPr="00EC6FE9" w:rsidRDefault="00E1693F" w:rsidP="00E1693F">
            <w:pPr>
              <w:tabs>
                <w:tab w:val="left" w:pos="709"/>
              </w:tabs>
              <w:ind w:left="-57"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948D6" w:rsidRPr="00594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аказ № 967/1218/869</w:t>
            </w:r>
            <w:r w:rsidR="00594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відповіда</w:t>
            </w:r>
            <w:r w:rsidR="00E25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r w:rsidR="00594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вимогам чинного законодавства України, зокрема Порядку</w:t>
            </w:r>
          </w:p>
        </w:tc>
      </w:tr>
      <w:tr w:rsidR="00B4439F" w:rsidRPr="00EC6FE9" w14:paraId="14696C42" w14:textId="77777777" w:rsidTr="00972B77">
        <w:trPr>
          <w:trHeight w:val="1113"/>
        </w:trPr>
        <w:tc>
          <w:tcPr>
            <w:tcW w:w="2518" w:type="dxa"/>
          </w:tcPr>
          <w:p w14:paraId="41540F4D" w14:textId="77777777" w:rsidR="00FC252B" w:rsidRPr="00EC6FE9" w:rsidRDefault="00FC252B" w:rsidP="00DF17A3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2</w:t>
            </w:r>
          </w:p>
          <w:p w14:paraId="1A71FEE2" w14:textId="3EDA92E2" w:rsidR="005A14CB" w:rsidRPr="00F95BC2" w:rsidRDefault="00F95BC2" w:rsidP="005A14CB">
            <w:pPr>
              <w:tabs>
                <w:tab w:val="left" w:pos="709"/>
              </w:tabs>
              <w:jc w:val="both"/>
              <w:rPr>
                <w:rStyle w:val="rvts0"/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F95BC2">
              <w:rPr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видання</w:t>
            </w:r>
            <w:r w:rsidRPr="00F95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9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="00F5497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наказу</w:t>
            </w:r>
            <w:r w:rsidRPr="00F95BC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336" w:type="dxa"/>
          </w:tcPr>
          <w:p w14:paraId="5943ADA5" w14:textId="6B7860EC" w:rsidR="00F30FB5" w:rsidRPr="005948D6" w:rsidRDefault="00F95BC2" w:rsidP="005948D6">
            <w:pPr>
              <w:tabs>
                <w:tab w:val="left" w:pos="709"/>
              </w:tabs>
              <w:ind w:firstLine="2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Видання</w:t>
            </w:r>
            <w:r w:rsidR="00F74B8E" w:rsidRPr="0025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54979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54979">
              <w:rPr>
                <w:rFonts w:ascii="Times New Roman" w:hAnsi="Times New Roman" w:cs="Times New Roman"/>
                <w:sz w:val="28"/>
                <w:szCs w:val="28"/>
              </w:rPr>
              <w:t xml:space="preserve"> наказу </w:t>
            </w:r>
            <w:r w:rsidR="005948D6" w:rsidRPr="0025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005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 змогу</w:t>
            </w:r>
            <w:r w:rsidR="00594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привести нормативно-правовий акт у відповідність до </w:t>
            </w:r>
            <w:r w:rsidR="007A7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чинного </w:t>
            </w:r>
            <w:r w:rsidR="00E169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законодавства</w:t>
            </w:r>
          </w:p>
        </w:tc>
      </w:tr>
    </w:tbl>
    <w:p w14:paraId="2B6AE73C" w14:textId="7A65AD46" w:rsidR="00CD28D4" w:rsidRPr="00EC6FE9" w:rsidRDefault="00CD28D4" w:rsidP="0006448A">
      <w:pPr>
        <w:tabs>
          <w:tab w:val="left" w:pos="709"/>
        </w:tabs>
        <w:spacing w:after="0" w:line="240" w:lineRule="auto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5B8AC" w14:textId="77777777" w:rsidR="0006448A" w:rsidRPr="00EC6FE9" w:rsidRDefault="0006448A" w:rsidP="002F51B7">
      <w:pPr>
        <w:tabs>
          <w:tab w:val="left" w:pos="709"/>
        </w:tabs>
        <w:spacing w:after="0" w:line="240" w:lineRule="auto"/>
        <w:ind w:firstLine="567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2. Оцінка вибраних альтернативних способів досягнення цілей</w:t>
      </w:r>
    </w:p>
    <w:p w14:paraId="0AFA6A17" w14:textId="12337EF3" w:rsidR="0006448A" w:rsidRPr="00EC6FE9" w:rsidRDefault="0006448A" w:rsidP="002F51B7">
      <w:pPr>
        <w:tabs>
          <w:tab w:val="left" w:pos="709"/>
        </w:tabs>
        <w:spacing w:after="0" w:line="240" w:lineRule="auto"/>
        <w:ind w:firstLine="567"/>
        <w:rPr>
          <w:rStyle w:val="rvts0"/>
          <w:color w:val="000000" w:themeColor="text1"/>
          <w:sz w:val="24"/>
          <w:szCs w:val="24"/>
        </w:rPr>
      </w:pPr>
    </w:p>
    <w:p w14:paraId="11561A9A" w14:textId="4A116164" w:rsidR="002A79A1" w:rsidRPr="00EC6FE9" w:rsidRDefault="0006448A" w:rsidP="002F51B7">
      <w:pPr>
        <w:spacing w:after="0" w:line="240" w:lineRule="auto"/>
        <w:ind w:firstLine="567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держави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30"/>
        <w:gridCol w:w="4469"/>
        <w:gridCol w:w="2835"/>
      </w:tblGrid>
      <w:tr w:rsidR="00A73602" w:rsidRPr="002522EE" w14:paraId="1724655D" w14:textId="77777777" w:rsidTr="008D57F1">
        <w:trPr>
          <w:trHeight w:val="549"/>
        </w:trPr>
        <w:tc>
          <w:tcPr>
            <w:tcW w:w="2330" w:type="dxa"/>
          </w:tcPr>
          <w:p w14:paraId="6BFCB5D0" w14:textId="77777777" w:rsidR="000B49D4" w:rsidRPr="002522EE" w:rsidRDefault="0006448A" w:rsidP="000B49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22EE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4469" w:type="dxa"/>
          </w:tcPr>
          <w:p w14:paraId="58D7E6B2" w14:textId="77777777" w:rsidR="0006448A" w:rsidRPr="002522EE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22EE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2835" w:type="dxa"/>
          </w:tcPr>
          <w:p w14:paraId="6DBA177F" w14:textId="77777777" w:rsidR="0006448A" w:rsidRPr="002522EE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22EE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A73602" w:rsidRPr="00EC6FE9" w14:paraId="4F2C8DC2" w14:textId="77777777" w:rsidTr="008D57F1">
        <w:trPr>
          <w:trHeight w:val="3348"/>
        </w:trPr>
        <w:tc>
          <w:tcPr>
            <w:tcW w:w="2330" w:type="dxa"/>
          </w:tcPr>
          <w:p w14:paraId="5119B1F9" w14:textId="18E081CB" w:rsidR="002746CD" w:rsidRPr="00EC6FE9" w:rsidRDefault="002746CD" w:rsidP="00097E6B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1</w:t>
            </w:r>
          </w:p>
        </w:tc>
        <w:tc>
          <w:tcPr>
            <w:tcW w:w="4469" w:type="dxa"/>
          </w:tcPr>
          <w:p w14:paraId="4D96B541" w14:textId="2354E2EB" w:rsidR="00F95BC2" w:rsidRDefault="002746CD" w:rsidP="00C664DE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9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игоди в</w:t>
            </w: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ідсутні</w:t>
            </w:r>
            <w:r w:rsidR="00F95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1CD6D8E" w14:textId="2E31F527" w:rsidR="002746CD" w:rsidRPr="00EC6FE9" w:rsidRDefault="00F95BC2" w:rsidP="00C664DE">
            <w:pPr>
              <w:tabs>
                <w:tab w:val="left" w:pos="709"/>
              </w:tabs>
              <w:ind w:firstLine="567"/>
              <w:jc w:val="both"/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02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25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атиме місце колізія в законодавстві в частині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невідповідності встановлення розмірів плат </w:t>
            </w:r>
            <w:r w:rsidRPr="006E0255">
              <w:rPr>
                <w:rFonts w:ascii="Times New Roman" w:hAnsi="Times New Roman" w:cs="Times New Roman"/>
                <w:sz w:val="28"/>
                <w:szCs w:val="28"/>
              </w:rPr>
              <w:t>за транспортування і зберігання тимчасово затриманих транспортних засобів на спеціальних майданчиках (стоянках)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FE9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C6FE9">
              <w:rPr>
                <w:rFonts w:ascii="Times New Roman" w:hAnsi="Times New Roman" w:cs="Times New Roman"/>
                <w:sz w:val="28"/>
                <w:szCs w:val="28"/>
              </w:rPr>
              <w:t>, уповноважен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EC6FE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їх</w:t>
            </w:r>
            <w:r w:rsidRPr="00EC6FE9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</w:t>
            </w:r>
          </w:p>
        </w:tc>
        <w:tc>
          <w:tcPr>
            <w:tcW w:w="2835" w:type="dxa"/>
          </w:tcPr>
          <w:p w14:paraId="20F0C119" w14:textId="142B11E7" w:rsidR="002522EE" w:rsidRPr="006E0255" w:rsidRDefault="00972B77" w:rsidP="00C664DE">
            <w:pPr>
              <w:ind w:right="-28"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8D57F1" w:rsidRPr="00DE25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ідсутні</w:t>
            </w:r>
          </w:p>
        </w:tc>
      </w:tr>
      <w:tr w:rsidR="006454E8" w:rsidRPr="00EC6FE9" w14:paraId="316AFE6C" w14:textId="77777777" w:rsidTr="008D57F1">
        <w:trPr>
          <w:trHeight w:val="1709"/>
        </w:trPr>
        <w:tc>
          <w:tcPr>
            <w:tcW w:w="2330" w:type="dxa"/>
          </w:tcPr>
          <w:p w14:paraId="47DA068E" w14:textId="77777777" w:rsidR="0006448A" w:rsidRPr="00EC6FE9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4469" w:type="dxa"/>
          </w:tcPr>
          <w:p w14:paraId="42529FD5" w14:textId="0F47CEDF" w:rsidR="00FC595E" w:rsidRPr="00435710" w:rsidRDefault="00435710" w:rsidP="00C664DE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35710">
              <w:rPr>
                <w:rFonts w:ascii="Times New Roman" w:hAnsi="Times New Roman" w:cs="Times New Roman"/>
                <w:sz w:val="28"/>
                <w:szCs w:val="28"/>
              </w:rPr>
              <w:t xml:space="preserve">игоди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22EE" w:rsidRPr="00435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ідсутні</w:t>
            </w:r>
            <w:r w:rsidR="00F03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23A447D" w14:textId="27E46A04" w:rsidR="002522EE" w:rsidRPr="00EC6FE9" w:rsidRDefault="002522EE" w:rsidP="00C664DE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Реалізація </w:t>
            </w:r>
            <w:proofErr w:type="spellStart"/>
            <w:r w:rsidR="00501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="00501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наказу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664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 змогу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виконати вимоги нормативно-правового акта вищої юридичної сили</w:t>
            </w:r>
          </w:p>
        </w:tc>
        <w:tc>
          <w:tcPr>
            <w:tcW w:w="2835" w:type="dxa"/>
          </w:tcPr>
          <w:p w14:paraId="60622D26" w14:textId="76B99087" w:rsidR="00B2029F" w:rsidRPr="00EC6FE9" w:rsidRDefault="0099581A" w:rsidP="00C664DE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</w:p>
        </w:tc>
      </w:tr>
    </w:tbl>
    <w:p w14:paraId="0CFBFEA7" w14:textId="77777777" w:rsidR="00B02A3F" w:rsidRPr="0003229D" w:rsidRDefault="00B02A3F" w:rsidP="0099581A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6B7B7" w14:textId="21F6A6C7" w:rsidR="00857999" w:rsidRPr="006E0255" w:rsidRDefault="00274251" w:rsidP="00A450C5">
      <w:pPr>
        <w:spacing w:after="12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EC6FE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</w:t>
      </w:r>
      <w:r w:rsidR="006E0255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</w:t>
      </w:r>
      <w:r w:rsidRPr="00EC6FE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56"/>
        <w:gridCol w:w="3118"/>
      </w:tblGrid>
      <w:tr w:rsidR="00A73602" w:rsidRPr="00EC6FE9" w14:paraId="6C691CEF" w14:textId="77777777" w:rsidTr="00D35229">
        <w:trPr>
          <w:trHeight w:val="613"/>
          <w:jc w:val="center"/>
        </w:trPr>
        <w:tc>
          <w:tcPr>
            <w:tcW w:w="2160" w:type="dxa"/>
          </w:tcPr>
          <w:p w14:paraId="19D7FC71" w14:textId="77777777" w:rsidR="00491937" w:rsidRPr="006E0255" w:rsidRDefault="00491937" w:rsidP="00C664DE">
            <w:pPr>
              <w:pStyle w:val="TableParagraph"/>
              <w:spacing w:line="256" w:lineRule="exact"/>
              <w:ind w:left="155"/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6E0255">
              <w:rPr>
                <w:b/>
                <w:bCs/>
                <w:color w:val="000000" w:themeColor="text1"/>
                <w:sz w:val="28"/>
                <w:szCs w:val="24"/>
              </w:rPr>
              <w:t>Вид альтернативи</w:t>
            </w:r>
          </w:p>
        </w:tc>
        <w:tc>
          <w:tcPr>
            <w:tcW w:w="4356" w:type="dxa"/>
          </w:tcPr>
          <w:p w14:paraId="0DFC3606" w14:textId="77777777" w:rsidR="00491937" w:rsidRPr="006E0255" w:rsidRDefault="00491937" w:rsidP="00C664DE">
            <w:pPr>
              <w:pStyle w:val="TableParagraph"/>
              <w:spacing w:line="256" w:lineRule="exact"/>
              <w:ind w:left="155" w:right="1710"/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6E0255">
              <w:rPr>
                <w:b/>
                <w:bCs/>
                <w:color w:val="000000" w:themeColor="text1"/>
                <w:sz w:val="28"/>
                <w:szCs w:val="24"/>
              </w:rPr>
              <w:t>Вигоди</w:t>
            </w:r>
          </w:p>
        </w:tc>
        <w:tc>
          <w:tcPr>
            <w:tcW w:w="3118" w:type="dxa"/>
          </w:tcPr>
          <w:p w14:paraId="1FB135C9" w14:textId="1BD4B816" w:rsidR="00491937" w:rsidRPr="006E0255" w:rsidRDefault="00491937" w:rsidP="00C664DE">
            <w:pPr>
              <w:pStyle w:val="TableParagraph"/>
              <w:spacing w:line="256" w:lineRule="exact"/>
              <w:ind w:left="155"/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6E0255">
              <w:rPr>
                <w:b/>
                <w:bCs/>
                <w:color w:val="000000" w:themeColor="text1"/>
                <w:sz w:val="28"/>
                <w:szCs w:val="24"/>
              </w:rPr>
              <w:t>Витрати</w:t>
            </w:r>
          </w:p>
        </w:tc>
      </w:tr>
      <w:tr w:rsidR="006E0255" w:rsidRPr="00EC6FE9" w14:paraId="069B33CB" w14:textId="77777777" w:rsidTr="00D35229">
        <w:trPr>
          <w:trHeight w:val="707"/>
          <w:jc w:val="center"/>
        </w:trPr>
        <w:tc>
          <w:tcPr>
            <w:tcW w:w="2160" w:type="dxa"/>
          </w:tcPr>
          <w:p w14:paraId="1787F084" w14:textId="6B9CFA4F" w:rsidR="006E0255" w:rsidRPr="00D35229" w:rsidRDefault="006E0255" w:rsidP="006E0255">
            <w:pPr>
              <w:pStyle w:val="TableParagraph"/>
              <w:spacing w:line="268" w:lineRule="exact"/>
              <w:jc w:val="center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D35229">
              <w:rPr>
                <w:b/>
                <w:bCs/>
                <w:color w:val="000000" w:themeColor="text1"/>
                <w:sz w:val="28"/>
                <w:szCs w:val="24"/>
              </w:rPr>
              <w:t>Альтернатива 1</w:t>
            </w:r>
          </w:p>
        </w:tc>
        <w:tc>
          <w:tcPr>
            <w:tcW w:w="4356" w:type="dxa"/>
          </w:tcPr>
          <w:p w14:paraId="5522BCD0" w14:textId="2F79D0C8" w:rsidR="006E0255" w:rsidRPr="006E0255" w:rsidRDefault="006E0255" w:rsidP="002F51B7">
            <w:pPr>
              <w:pStyle w:val="TableParagraph"/>
              <w:spacing w:line="268" w:lineRule="exact"/>
              <w:ind w:left="153" w:right="1712" w:firstLine="567"/>
              <w:jc w:val="center"/>
              <w:rPr>
                <w:color w:val="000000" w:themeColor="text1"/>
                <w:sz w:val="28"/>
                <w:szCs w:val="24"/>
              </w:rPr>
            </w:pPr>
            <w:r w:rsidRPr="006E0255">
              <w:rPr>
                <w:color w:val="000000" w:themeColor="text1"/>
                <w:sz w:val="28"/>
                <w:szCs w:val="24"/>
              </w:rPr>
              <w:t>Відсутні</w:t>
            </w:r>
          </w:p>
        </w:tc>
        <w:tc>
          <w:tcPr>
            <w:tcW w:w="3118" w:type="dxa"/>
          </w:tcPr>
          <w:p w14:paraId="437F52E0" w14:textId="3A31067C" w:rsidR="006E0255" w:rsidRPr="00D35229" w:rsidRDefault="006E0255" w:rsidP="002F51B7">
            <w:pPr>
              <w:tabs>
                <w:tab w:val="left" w:pos="709"/>
              </w:tabs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</w:p>
        </w:tc>
      </w:tr>
      <w:tr w:rsidR="006E0255" w:rsidRPr="00EC6FE9" w14:paraId="6D95EF34" w14:textId="77777777" w:rsidTr="00D35229">
        <w:trPr>
          <w:trHeight w:val="389"/>
          <w:jc w:val="center"/>
        </w:trPr>
        <w:tc>
          <w:tcPr>
            <w:tcW w:w="2160" w:type="dxa"/>
          </w:tcPr>
          <w:p w14:paraId="441CD552" w14:textId="3E9E00ED" w:rsidR="006E0255" w:rsidRPr="00EC6FE9" w:rsidRDefault="006E0255" w:rsidP="00D35229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8"/>
                <w:szCs w:val="24"/>
              </w:rPr>
            </w:pPr>
            <w:r w:rsidRPr="00EC6FE9">
              <w:rPr>
                <w:b/>
                <w:bCs/>
                <w:color w:val="000000" w:themeColor="text1"/>
                <w:sz w:val="28"/>
                <w:szCs w:val="24"/>
              </w:rPr>
              <w:t>Альтернатива 2</w:t>
            </w:r>
          </w:p>
        </w:tc>
        <w:tc>
          <w:tcPr>
            <w:tcW w:w="4356" w:type="dxa"/>
          </w:tcPr>
          <w:p w14:paraId="21308142" w14:textId="7574F9BF" w:rsidR="006E0255" w:rsidRPr="00EC6FE9" w:rsidRDefault="00E25423" w:rsidP="002F51B7">
            <w:pPr>
              <w:pStyle w:val="TableParagraph"/>
              <w:ind w:firstLine="567"/>
              <w:jc w:val="both"/>
              <w:rPr>
                <w:color w:val="000000" w:themeColor="text1"/>
                <w:sz w:val="28"/>
                <w:szCs w:val="24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Реалізація </w:t>
            </w:r>
            <w:proofErr w:type="spellStart"/>
            <w:r w:rsidR="0074261E">
              <w:rPr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="0074261E">
              <w:rPr>
                <w:color w:val="000000" w:themeColor="text1"/>
                <w:sz w:val="28"/>
                <w:szCs w:val="28"/>
              </w:rPr>
              <w:t xml:space="preserve"> наказу </w:t>
            </w:r>
            <w:r w:rsidR="00435710">
              <w:rPr>
                <w:color w:val="000000" w:themeColor="text1"/>
                <w:sz w:val="28"/>
                <w:szCs w:val="28"/>
              </w:rPr>
              <w:t xml:space="preserve">дасть змогу </w:t>
            </w:r>
            <w:r>
              <w:rPr>
                <w:color w:val="000000" w:themeColor="text1"/>
                <w:sz w:val="28"/>
                <w:szCs w:val="28"/>
              </w:rPr>
              <w:t xml:space="preserve">виконати вимоги нормативно-правового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акта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вищої юридичної сили</w:t>
            </w:r>
          </w:p>
        </w:tc>
        <w:tc>
          <w:tcPr>
            <w:tcW w:w="3118" w:type="dxa"/>
          </w:tcPr>
          <w:p w14:paraId="5CDB8BFA" w14:textId="708C5A4C" w:rsidR="006E0255" w:rsidRPr="00EC6FE9" w:rsidRDefault="006E0255" w:rsidP="002F51B7">
            <w:pPr>
              <w:pStyle w:val="TableParagraph"/>
              <w:ind w:firstLine="567"/>
              <w:jc w:val="center"/>
              <w:rPr>
                <w:color w:val="000000" w:themeColor="text1"/>
                <w:sz w:val="28"/>
                <w:szCs w:val="24"/>
              </w:rPr>
            </w:pPr>
            <w:r w:rsidRPr="00EC6FE9">
              <w:rPr>
                <w:color w:val="000000" w:themeColor="text1"/>
                <w:sz w:val="28"/>
                <w:szCs w:val="24"/>
              </w:rPr>
              <w:t>Відсутні</w:t>
            </w:r>
          </w:p>
        </w:tc>
      </w:tr>
    </w:tbl>
    <w:p w14:paraId="59832A04" w14:textId="77777777" w:rsidR="00B52A94" w:rsidRDefault="00B52A94" w:rsidP="00507F63">
      <w:pPr>
        <w:tabs>
          <w:tab w:val="left" w:pos="709"/>
          <w:tab w:val="left" w:pos="8513"/>
        </w:tabs>
        <w:spacing w:after="0" w:line="240" w:lineRule="auto"/>
        <w:ind w:left="709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2C0F6" w14:textId="2AB05749" w:rsidR="00F07150" w:rsidRPr="00EC6FE9" w:rsidRDefault="0006448A" w:rsidP="002F51B7">
      <w:pPr>
        <w:tabs>
          <w:tab w:val="left" w:pos="709"/>
          <w:tab w:val="left" w:pos="8513"/>
        </w:tabs>
        <w:spacing w:after="0" w:line="240" w:lineRule="auto"/>
        <w:ind w:left="709" w:firstLine="567"/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Style w:val="rvts0"/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суб’єктів господарювання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83"/>
        <w:gridCol w:w="1516"/>
        <w:gridCol w:w="1398"/>
        <w:gridCol w:w="1367"/>
        <w:gridCol w:w="1381"/>
        <w:gridCol w:w="1217"/>
      </w:tblGrid>
      <w:tr w:rsidR="00A73602" w:rsidRPr="002A0A54" w14:paraId="7F6DF948" w14:textId="77777777" w:rsidTr="00DF17A3">
        <w:tc>
          <w:tcPr>
            <w:tcW w:w="2836" w:type="dxa"/>
          </w:tcPr>
          <w:p w14:paraId="22111F78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Показник</w:t>
            </w:r>
          </w:p>
        </w:tc>
        <w:tc>
          <w:tcPr>
            <w:tcW w:w="1559" w:type="dxa"/>
          </w:tcPr>
          <w:p w14:paraId="05F0F1B3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Великі</w:t>
            </w:r>
          </w:p>
        </w:tc>
        <w:tc>
          <w:tcPr>
            <w:tcW w:w="1417" w:type="dxa"/>
          </w:tcPr>
          <w:p w14:paraId="07750EDC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Середні</w:t>
            </w:r>
          </w:p>
        </w:tc>
        <w:tc>
          <w:tcPr>
            <w:tcW w:w="1418" w:type="dxa"/>
          </w:tcPr>
          <w:p w14:paraId="30C7D58E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Малі</w:t>
            </w:r>
          </w:p>
        </w:tc>
        <w:tc>
          <w:tcPr>
            <w:tcW w:w="1417" w:type="dxa"/>
          </w:tcPr>
          <w:p w14:paraId="7D5874EF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Мікро</w:t>
            </w:r>
          </w:p>
        </w:tc>
        <w:tc>
          <w:tcPr>
            <w:tcW w:w="1241" w:type="dxa"/>
          </w:tcPr>
          <w:p w14:paraId="458AF88C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Разом</w:t>
            </w:r>
          </w:p>
        </w:tc>
      </w:tr>
      <w:tr w:rsidR="00A73602" w:rsidRPr="00EC6FE9" w14:paraId="79AB1F40" w14:textId="77777777" w:rsidTr="00E25423">
        <w:tc>
          <w:tcPr>
            <w:tcW w:w="2836" w:type="dxa"/>
          </w:tcPr>
          <w:p w14:paraId="39014AF9" w14:textId="77777777" w:rsidR="0006448A" w:rsidRPr="00EC6FE9" w:rsidRDefault="0006448A" w:rsidP="00DF17A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  <w:vAlign w:val="center"/>
          </w:tcPr>
          <w:p w14:paraId="01A60A34" w14:textId="27E1411A" w:rsidR="0006448A" w:rsidRPr="00023F65" w:rsidRDefault="00E25423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59E214E7" w14:textId="179F7574" w:rsidR="0006448A" w:rsidRPr="00023F65" w:rsidRDefault="00E25423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5148BB9C" w14:textId="67C27725" w:rsidR="0006448A" w:rsidRPr="00023F65" w:rsidRDefault="00E25423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6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14:paraId="6E521EDE" w14:textId="6297FE53" w:rsidR="0006448A" w:rsidRPr="00023F65" w:rsidRDefault="00E25423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6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241" w:type="dxa"/>
            <w:vAlign w:val="center"/>
          </w:tcPr>
          <w:p w14:paraId="5F772AA0" w14:textId="7D70754F" w:rsidR="0006448A" w:rsidRPr="00023F65" w:rsidRDefault="00E25423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F65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365A67" w:rsidRPr="00023F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73602" w:rsidRPr="00EC6FE9" w14:paraId="17A47BF3" w14:textId="77777777" w:rsidTr="00E25423">
        <w:tc>
          <w:tcPr>
            <w:tcW w:w="2836" w:type="dxa"/>
          </w:tcPr>
          <w:p w14:paraId="34DAE65E" w14:textId="77777777" w:rsidR="0006448A" w:rsidRPr="00EC6FE9" w:rsidRDefault="0006448A" w:rsidP="00DF17A3">
            <w:pPr>
              <w:tabs>
                <w:tab w:val="left" w:pos="709"/>
              </w:tabs>
              <w:jc w:val="both"/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1559" w:type="dxa"/>
            <w:vAlign w:val="center"/>
          </w:tcPr>
          <w:p w14:paraId="4CC47166" w14:textId="143AF9EC" w:rsidR="0006448A" w:rsidRPr="00EC6FE9" w:rsidRDefault="00C46F5B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92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0C6"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273F3A50" w14:textId="3592A156" w:rsidR="0006448A" w:rsidRPr="00EC6FE9" w:rsidRDefault="00E25423" w:rsidP="00FC25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92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930C6"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14:paraId="3FACC3E3" w14:textId="55442879" w:rsidR="0006448A" w:rsidRPr="00234ACA" w:rsidRDefault="00D9223F" w:rsidP="00FC25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A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  <w:r w:rsidR="0019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A3" w:rsidRPr="00234A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61E3B77A" w14:textId="32D187B2" w:rsidR="0006448A" w:rsidRPr="00234ACA" w:rsidRDefault="00D9223F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C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  <w:r w:rsidR="0019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A3" w:rsidRPr="00234A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1" w:type="dxa"/>
            <w:vAlign w:val="center"/>
          </w:tcPr>
          <w:p w14:paraId="78029F41" w14:textId="2B4F740F" w:rsidR="0006448A" w:rsidRPr="00EC6FE9" w:rsidRDefault="00D930C6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192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1C33CC28" w14:textId="5F8581E7" w:rsidR="005F67AB" w:rsidRPr="004F0FFA" w:rsidRDefault="004F0FFA" w:rsidP="00D10999">
      <w:pPr>
        <w:spacing w:after="0" w:line="240" w:lineRule="auto"/>
        <w:jc w:val="both"/>
        <w:rPr>
          <w:rStyle w:val="rvts0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>
        <w:rPr>
          <w:rStyle w:val="rvts0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_______________</w:t>
      </w:r>
    </w:p>
    <w:p w14:paraId="7F5D4CBB" w14:textId="6E1B8D0A" w:rsidR="00365A67" w:rsidRPr="00D10999" w:rsidRDefault="007B0971" w:rsidP="004F0FFA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</w:pPr>
      <w:r w:rsidRPr="00D10999">
        <w:rPr>
          <w:rStyle w:val="rvts0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*</w:t>
      </w:r>
      <w:r w:rsidR="004F0FFA" w:rsidRPr="00D10999">
        <w:rPr>
          <w:rStyle w:val="rvts0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 </w:t>
      </w:r>
      <w:r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5168F8"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>даними</w:t>
      </w:r>
      <w:r w:rsidR="008A1680"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BD0"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>Державної служби статистики України</w:t>
      </w:r>
      <w:r w:rsidR="008A1680" w:rsidRPr="00D10999">
        <w:rPr>
          <w:rStyle w:val="rvts0"/>
          <w:rFonts w:ascii="Times New Roman" w:hAnsi="Times New Roman" w:cs="Times New Roman"/>
          <w:color w:val="000000" w:themeColor="text1"/>
          <w:sz w:val="24"/>
          <w:szCs w:val="24"/>
        </w:rPr>
        <w:t xml:space="preserve"> https://ukrstat.gov.ua/operativ/menu/menu_u/sze_20.htm</w:t>
      </w:r>
    </w:p>
    <w:p w14:paraId="16635AA7" w14:textId="77777777" w:rsidR="00B0090E" w:rsidRPr="00EC6FE9" w:rsidRDefault="00B0090E" w:rsidP="0025114E">
      <w:pPr>
        <w:spacing w:after="0" w:line="240" w:lineRule="auto"/>
        <w:ind w:firstLine="284"/>
        <w:jc w:val="both"/>
        <w:rPr>
          <w:rStyle w:val="rvts2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228"/>
        <w:gridCol w:w="4955"/>
      </w:tblGrid>
      <w:tr w:rsidR="00A73602" w:rsidRPr="00D35229" w14:paraId="35D2DDBD" w14:textId="77777777" w:rsidTr="002217C8">
        <w:tc>
          <w:tcPr>
            <w:tcW w:w="2445" w:type="dxa"/>
          </w:tcPr>
          <w:p w14:paraId="347DA980" w14:textId="77777777" w:rsidR="0006448A" w:rsidRPr="00D35229" w:rsidRDefault="0006448A" w:rsidP="004565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5229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2228" w:type="dxa"/>
          </w:tcPr>
          <w:p w14:paraId="53DC5F40" w14:textId="77777777" w:rsidR="0006448A" w:rsidRPr="00D35229" w:rsidRDefault="0006448A" w:rsidP="004565BD">
            <w:pPr>
              <w:ind w:left="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5229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4955" w:type="dxa"/>
          </w:tcPr>
          <w:p w14:paraId="483F0C97" w14:textId="77777777" w:rsidR="0006448A" w:rsidRPr="00D35229" w:rsidRDefault="0006448A" w:rsidP="004565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5229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A73602" w:rsidRPr="00EC6FE9" w14:paraId="2A066AE4" w14:textId="77777777" w:rsidTr="002217C8">
        <w:tc>
          <w:tcPr>
            <w:tcW w:w="2445" w:type="dxa"/>
          </w:tcPr>
          <w:p w14:paraId="7591702D" w14:textId="77777777" w:rsidR="0006448A" w:rsidRPr="00EC6FE9" w:rsidRDefault="0006448A" w:rsidP="004565BD">
            <w:pPr>
              <w:tabs>
                <w:tab w:val="left" w:pos="709"/>
              </w:tabs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1</w:t>
            </w:r>
          </w:p>
        </w:tc>
        <w:tc>
          <w:tcPr>
            <w:tcW w:w="2228" w:type="dxa"/>
          </w:tcPr>
          <w:p w14:paraId="1DC1F037" w14:textId="78F7D95B" w:rsidR="0017525D" w:rsidRPr="00EC6FE9" w:rsidRDefault="00307202" w:rsidP="004565BD">
            <w:pPr>
              <w:ind w:left="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</w:t>
            </w:r>
          </w:p>
        </w:tc>
        <w:tc>
          <w:tcPr>
            <w:tcW w:w="4955" w:type="dxa"/>
          </w:tcPr>
          <w:p w14:paraId="4796F61A" w14:textId="24088CE7" w:rsidR="0003229D" w:rsidRPr="00D9223F" w:rsidRDefault="0003229D" w:rsidP="00032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Чинні розміри плат, затверджені наказом № 967/1218/869, не покрива</w:t>
            </w:r>
            <w:r w:rsid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</w:t>
            </w: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ть витрати суб’єктів господарювання (підприємств, установ та організаці</w:t>
            </w:r>
            <w:r w:rsid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 які провадять діяльність, пов’язану з транспортуванням транспортних засобів, і з якими територіальним (у тому числі міжрегіональним) органом Національної поліції</w:t>
            </w:r>
            <w:r w:rsidR="004565B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="004565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України</w:t>
            </w: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укладен</w:t>
            </w:r>
            <w:r w:rsidR="009977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установленому порядку договори, за</w:t>
            </w:r>
            <w:r w:rsidR="00D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9223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транспортування за допомогою евакуаторів одного тимчасово затриманого транспортного засобу на спеціальний майданчик чи стоянку (залежно від його маси), зокрема:</w:t>
            </w:r>
          </w:p>
          <w:p w14:paraId="056C0C81" w14:textId="77777777" w:rsidR="0003229D" w:rsidRPr="00D9223F" w:rsidRDefault="0003229D" w:rsidP="00032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до 2 000 кг включно – 800 грн;</w:t>
            </w:r>
          </w:p>
          <w:p w14:paraId="1D28682A" w14:textId="77777777" w:rsidR="0003229D" w:rsidRPr="00D9223F" w:rsidRDefault="0003229D" w:rsidP="00032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від 2 000 до 3 000 кг – 940 грн;</w:t>
            </w:r>
          </w:p>
          <w:p w14:paraId="34292893" w14:textId="4831FA15" w:rsidR="0003229D" w:rsidRPr="00EC6FE9" w:rsidRDefault="0003229D" w:rsidP="0003229D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від 3 000 кг – 1140 грн</w:t>
            </w:r>
          </w:p>
        </w:tc>
      </w:tr>
      <w:tr w:rsidR="006454E8" w:rsidRPr="00EC6FE9" w14:paraId="2C7AAE6F" w14:textId="77777777" w:rsidTr="002217C8">
        <w:tc>
          <w:tcPr>
            <w:tcW w:w="2445" w:type="dxa"/>
          </w:tcPr>
          <w:p w14:paraId="533F7E59" w14:textId="77777777" w:rsidR="0006448A" w:rsidRPr="00EC6FE9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2228" w:type="dxa"/>
          </w:tcPr>
          <w:p w14:paraId="6367EAA8" w14:textId="485A50BB" w:rsidR="002217C8" w:rsidRDefault="002217C8" w:rsidP="002217C8">
            <w:pPr>
              <w:tabs>
                <w:tab w:val="left" w:pos="709"/>
              </w:tabs>
              <w:ind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Обрана альтернатива  дасть змогу дося</w:t>
            </w:r>
            <w:r w:rsidR="0027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гнути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поставлених цілей</w:t>
            </w:r>
            <w:r w:rsidR="0027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45DF0E26" w14:textId="5311CA41" w:rsidR="005C7BF6" w:rsidRPr="00EC6FE9" w:rsidRDefault="002217C8" w:rsidP="002217C8">
            <w:pPr>
              <w:tabs>
                <w:tab w:val="left" w:pos="709"/>
              </w:tabs>
              <w:ind w:firstLine="85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виконати вимоги Порядку та привести підзаконний акт нижчої юридичної сили у відповідність до чинного законодавства України</w:t>
            </w:r>
          </w:p>
        </w:tc>
        <w:tc>
          <w:tcPr>
            <w:tcW w:w="4955" w:type="dxa"/>
          </w:tcPr>
          <w:p w14:paraId="42345897" w14:textId="40FA49BD" w:rsidR="002B4B96" w:rsidRPr="00D9223F" w:rsidRDefault="000443E2" w:rsidP="00D3522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1 суб’єкта господарювання в перший рік регулювання </w:t>
            </w:r>
            <w:r w:rsidR="00F5072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9223F" w:rsidRPr="00D9223F">
              <w:rPr>
                <w:rFonts w:ascii="Times New Roman" w:hAnsi="Times New Roman" w:cs="Times New Roman"/>
                <w:sz w:val="28"/>
                <w:szCs w:val="28"/>
              </w:rPr>
              <w:t>60,69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грн:</w:t>
            </w:r>
          </w:p>
          <w:p w14:paraId="556242DB" w14:textId="39046F01" w:rsidR="00915DF2" w:rsidRPr="00D9223F" w:rsidRDefault="002C5C93" w:rsidP="00D3522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пов’язані 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>з необхідністю ознайомлення з положеннями наказу та організацією виконання вимог регулювання: 0,5 год. (час, який витрачається суб’єктом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на пошук нормативно-правового </w:t>
            </w:r>
            <w:proofErr w:type="spellStart"/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в мережі </w:t>
            </w:r>
            <w:r w:rsidR="00D238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r w:rsidR="00D23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та ознайомлення з ним</w:t>
            </w:r>
            <w:r w:rsidR="0008392A" w:rsidRPr="00D92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консультацій) х</w:t>
            </w:r>
            <w:r w:rsidR="0023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40,46 грн = 20,23 грн та </w:t>
            </w:r>
            <w:r w:rsidR="00D9223F" w:rsidRPr="00D92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год. (час, який витрачається </w:t>
            </w:r>
            <w:r w:rsidR="0008392A" w:rsidRPr="00D9223F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92A" w:rsidRPr="00D9223F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на організацію виконання вимог регулювання</w:t>
            </w:r>
            <w:r w:rsidR="0008392A" w:rsidRPr="00D92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результатами консультацій) х 40,46 грн = </w:t>
            </w:r>
            <w:r w:rsidR="004458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915DF2" w:rsidRPr="00D9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E9E46" w14:textId="52EE9C6B" w:rsidR="002C5C93" w:rsidRPr="00D9223F" w:rsidRDefault="002C5C93" w:rsidP="00D3522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223F">
              <w:rPr>
                <w:rFonts w:ascii="Times New Roman" w:hAnsi="Times New Roman" w:cs="Times New Roman"/>
                <w:sz w:val="28"/>
                <w:szCs w:val="28"/>
              </w:rPr>
              <w:t>(витрати носять разовий характер)</w:t>
            </w:r>
          </w:p>
        </w:tc>
      </w:tr>
    </w:tbl>
    <w:p w14:paraId="355F4309" w14:textId="2E013287" w:rsidR="00A22F50" w:rsidRDefault="00A22F50" w:rsidP="0044585A">
      <w:pPr>
        <w:spacing w:before="240" w:after="0" w:line="240" w:lineRule="auto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148980836"/>
      <w:r w:rsidRPr="00A22F50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Примітка</w:t>
      </w:r>
      <w:r w:rsidR="00646160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6160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розрахунку використано розмір мінімальної заробітної плати, яка відповідно до Закону України «Про Державний бюджет України на 2023 рік</w:t>
      </w:r>
      <w:r w:rsidR="000443E2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» з 1 січня 2023 року становить у погодинному розмірі – 40,46 грн.</w:t>
      </w:r>
    </w:p>
    <w:bookmarkEnd w:id="1"/>
    <w:p w14:paraId="3E7C82A9" w14:textId="098EE1D1" w:rsidR="00D43BD8" w:rsidRDefault="00D43BD8" w:rsidP="000506AA">
      <w:pPr>
        <w:tabs>
          <w:tab w:val="left" w:pos="709"/>
        </w:tabs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14:paraId="4979B36A" w14:textId="5CE4D4F4" w:rsidR="003F4043" w:rsidRDefault="003F4043" w:rsidP="000506AA">
      <w:pPr>
        <w:tabs>
          <w:tab w:val="left" w:pos="709"/>
        </w:tabs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14:paraId="51CA809D" w14:textId="77777777" w:rsidR="003F4043" w:rsidRPr="00EC6FE9" w:rsidRDefault="003F4043" w:rsidP="000506AA">
      <w:pPr>
        <w:tabs>
          <w:tab w:val="left" w:pos="709"/>
        </w:tabs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4689"/>
      </w:tblGrid>
      <w:tr w:rsidR="00A73602" w:rsidRPr="00EC6FE9" w14:paraId="7B5E281C" w14:textId="77777777" w:rsidTr="00097E6B">
        <w:trPr>
          <w:trHeight w:val="387"/>
        </w:trPr>
        <w:tc>
          <w:tcPr>
            <w:tcW w:w="4979" w:type="dxa"/>
          </w:tcPr>
          <w:p w14:paraId="49AD716C" w14:textId="77777777" w:rsidR="000506AA" w:rsidRPr="002A0A54" w:rsidRDefault="000506AA" w:rsidP="002A0A54">
            <w:pPr>
              <w:tabs>
                <w:tab w:val="left" w:pos="709"/>
              </w:tabs>
              <w:spacing w:after="0" w:line="240" w:lineRule="auto"/>
              <w:rPr>
                <w:rStyle w:val="rvts1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1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Сумарні витрати за альтернативами</w:t>
            </w:r>
          </w:p>
        </w:tc>
        <w:tc>
          <w:tcPr>
            <w:tcW w:w="4689" w:type="dxa"/>
          </w:tcPr>
          <w:p w14:paraId="1DE528E2" w14:textId="77777777" w:rsidR="000506AA" w:rsidRPr="002A0A54" w:rsidRDefault="000506AA" w:rsidP="00C61D67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rvts1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15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Сума витрат, гривень</w:t>
            </w:r>
          </w:p>
        </w:tc>
      </w:tr>
      <w:tr w:rsidR="00620DC6" w:rsidRPr="00EC6FE9" w14:paraId="025906E0" w14:textId="77777777" w:rsidTr="00620DC6">
        <w:trPr>
          <w:trHeight w:val="403"/>
        </w:trPr>
        <w:tc>
          <w:tcPr>
            <w:tcW w:w="9668" w:type="dxa"/>
            <w:gridSpan w:val="2"/>
            <w:vAlign w:val="center"/>
          </w:tcPr>
          <w:p w14:paraId="16D4F21D" w14:textId="511DE5F7" w:rsidR="00620DC6" w:rsidRPr="00EC6FE9" w:rsidRDefault="00620DC6" w:rsidP="00B04E4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Альтернатива 1 </w:t>
            </w:r>
          </w:p>
        </w:tc>
      </w:tr>
      <w:tr w:rsidR="00620DC6" w:rsidRPr="00EC6FE9" w14:paraId="4774E6B0" w14:textId="77777777" w:rsidTr="00097E6B">
        <w:trPr>
          <w:trHeight w:val="248"/>
        </w:trPr>
        <w:tc>
          <w:tcPr>
            <w:tcW w:w="4979" w:type="dxa"/>
          </w:tcPr>
          <w:p w14:paraId="63527CCA" w14:textId="747C62B7" w:rsidR="00620DC6" w:rsidRPr="004E521B" w:rsidRDefault="00620DC6" w:rsidP="00A857DE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E521B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Витрати держави</w:t>
            </w:r>
          </w:p>
        </w:tc>
        <w:tc>
          <w:tcPr>
            <w:tcW w:w="4689" w:type="dxa"/>
          </w:tcPr>
          <w:p w14:paraId="6E8A3735" w14:textId="39EA4C42" w:rsidR="00620DC6" w:rsidRPr="00EC6FE9" w:rsidRDefault="00A22F50" w:rsidP="00620D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–</w:t>
            </w:r>
          </w:p>
        </w:tc>
      </w:tr>
      <w:tr w:rsidR="00620DC6" w:rsidRPr="00EC6FE9" w14:paraId="646E50DA" w14:textId="77777777" w:rsidTr="00097E6B">
        <w:trPr>
          <w:trHeight w:val="248"/>
        </w:trPr>
        <w:tc>
          <w:tcPr>
            <w:tcW w:w="4979" w:type="dxa"/>
          </w:tcPr>
          <w:p w14:paraId="74B8C0EC" w14:textId="78294C2D" w:rsidR="00620DC6" w:rsidRDefault="00620DC6" w:rsidP="00A857D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DC6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Витрати</w:t>
            </w:r>
            <w:r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22F50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суб’єктів</w:t>
            </w:r>
            <w:r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22F50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господарювання</w:t>
            </w:r>
          </w:p>
          <w:p w14:paraId="0BE5CB32" w14:textId="72961B82" w:rsidR="00620DC6" w:rsidRPr="00620DC6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9" w:type="dxa"/>
          </w:tcPr>
          <w:p w14:paraId="78E44141" w14:textId="7B4514CE" w:rsidR="00620DC6" w:rsidRPr="004E521B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52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 огляду на альтернативу залишення нинішньої ситуації без змін чинні розміри плат (затверджені наказом № 967/1218/869) не покриватимуть витрат суб’єктів господарювання (підприємства, установи та організації), </w:t>
            </w:r>
            <w:bookmarkStart w:id="2" w:name="_Hlk148708802"/>
            <w:r w:rsidRPr="004E52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які провадять діяльність, пов’язану з транспортуванням транспортних засобів, і з якими територіальним (у тому числі міжрегіональним) органом Національної поліції </w:t>
            </w:r>
            <w:r w:rsidR="009236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України </w:t>
            </w:r>
            <w:r w:rsidRPr="004E52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укладен</w:t>
            </w:r>
            <w:r w:rsidR="009236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E52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установленому порядку договори</w:t>
            </w:r>
            <w:bookmarkEnd w:id="2"/>
            <w:r w:rsidRPr="004E52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за транспортування за допомогою евакуаторів одного тимчасово затриманого транспортного засобу на спеціальний майданчик чи стоянку (залежно від його маси), зокрема:</w:t>
            </w:r>
          </w:p>
          <w:p w14:paraId="67A844EF" w14:textId="77777777" w:rsidR="00620DC6" w:rsidRPr="004E521B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до 2 000 кг включно – 800 грн;</w:t>
            </w:r>
          </w:p>
          <w:p w14:paraId="3D697B70" w14:textId="77777777" w:rsidR="00620DC6" w:rsidRPr="004E521B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від 2 000 до 3 000 кг – 940 грн;</w:t>
            </w:r>
          </w:p>
          <w:p w14:paraId="09B0F331" w14:textId="5994D4C5" w:rsidR="00620DC6" w:rsidRPr="004E521B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від 3 000 кг – 1</w:t>
            </w:r>
            <w:r w:rsidR="005743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140 грн</w:t>
            </w:r>
            <w:r w:rsidR="004E521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0DC6" w:rsidRPr="00EC6FE9" w14:paraId="44679A27" w14:textId="77777777" w:rsidTr="00620DC6">
        <w:trPr>
          <w:trHeight w:val="397"/>
        </w:trPr>
        <w:tc>
          <w:tcPr>
            <w:tcW w:w="9668" w:type="dxa"/>
            <w:gridSpan w:val="2"/>
          </w:tcPr>
          <w:p w14:paraId="747194D5" w14:textId="4C87B4A4" w:rsidR="00620DC6" w:rsidRPr="00EC6FE9" w:rsidRDefault="00620DC6" w:rsidP="00620D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EC6FE9">
              <w:rPr>
                <w:rStyle w:val="rvts1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Альтернатива 2 </w:t>
            </w:r>
          </w:p>
        </w:tc>
      </w:tr>
      <w:tr w:rsidR="00620DC6" w:rsidRPr="00EC6FE9" w14:paraId="36A01E78" w14:textId="77777777" w:rsidTr="00097E6B">
        <w:trPr>
          <w:trHeight w:val="335"/>
        </w:trPr>
        <w:tc>
          <w:tcPr>
            <w:tcW w:w="4979" w:type="dxa"/>
          </w:tcPr>
          <w:p w14:paraId="626DFDA1" w14:textId="3BF0D3B7" w:rsidR="00620DC6" w:rsidRPr="00EC6FE9" w:rsidRDefault="00A22F50" w:rsidP="004E521B">
            <w:pPr>
              <w:pStyle w:val="TableParagraph"/>
              <w:ind w:right="94"/>
              <w:jc w:val="both"/>
              <w:rPr>
                <w:rStyle w:val="rvts15"/>
                <w:color w:val="000000" w:themeColor="text1"/>
                <w:sz w:val="28"/>
                <w:szCs w:val="28"/>
              </w:rPr>
            </w:pPr>
            <w:r w:rsidRPr="00620DC6">
              <w:rPr>
                <w:rStyle w:val="rvts15"/>
                <w:bCs/>
                <w:color w:val="000000" w:themeColor="text1"/>
                <w:sz w:val="28"/>
                <w:szCs w:val="28"/>
              </w:rPr>
              <w:t>Витрати держави</w:t>
            </w:r>
          </w:p>
        </w:tc>
        <w:tc>
          <w:tcPr>
            <w:tcW w:w="4689" w:type="dxa"/>
          </w:tcPr>
          <w:p w14:paraId="30A7F649" w14:textId="230D40C0" w:rsidR="00620DC6" w:rsidRPr="00EC6FE9" w:rsidRDefault="00A22F50" w:rsidP="00A22F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–</w:t>
            </w:r>
          </w:p>
        </w:tc>
      </w:tr>
      <w:tr w:rsidR="00A22F50" w:rsidRPr="00EC6FE9" w14:paraId="352E9603" w14:textId="77777777" w:rsidTr="00097E6B">
        <w:trPr>
          <w:trHeight w:val="335"/>
        </w:trPr>
        <w:tc>
          <w:tcPr>
            <w:tcW w:w="4979" w:type="dxa"/>
          </w:tcPr>
          <w:p w14:paraId="42CEEA03" w14:textId="602934F7" w:rsidR="00A22F50" w:rsidRPr="00EC6FE9" w:rsidRDefault="00A22F50" w:rsidP="003121B4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20DC6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Витрати</w:t>
            </w:r>
            <w:r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для суб’єктів господарювання</w:t>
            </w:r>
          </w:p>
        </w:tc>
        <w:tc>
          <w:tcPr>
            <w:tcW w:w="4689" w:type="dxa"/>
          </w:tcPr>
          <w:p w14:paraId="16F44CAF" w14:textId="30F4D2AA" w:rsidR="00A22F50" w:rsidRPr="00EC6FE9" w:rsidRDefault="004E521B" w:rsidP="00A22F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60,69</w:t>
            </w:r>
            <w:r w:rsidR="003121B4" w:rsidRPr="004E521B">
              <w:rPr>
                <w:rFonts w:ascii="Times New Roman" w:hAnsi="Times New Roman" w:cs="Times New Roman"/>
                <w:sz w:val="28"/>
                <w:szCs w:val="28"/>
              </w:rPr>
              <w:t xml:space="preserve"> грн х </w:t>
            </w: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3121B4" w:rsidRPr="004E521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3121B4" w:rsidRPr="004E521B">
              <w:t xml:space="preserve"> </w:t>
            </w: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1E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521B">
              <w:rPr>
                <w:rFonts w:ascii="Times New Roman" w:hAnsi="Times New Roman" w:cs="Times New Roman"/>
                <w:sz w:val="28"/>
                <w:szCs w:val="28"/>
              </w:rPr>
              <w:t>357,34</w:t>
            </w:r>
            <w:r w:rsidR="003121B4" w:rsidRPr="004E521B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</w:tbl>
    <w:p w14:paraId="2D513F5A" w14:textId="46A1AE23" w:rsidR="00A568B1" w:rsidRDefault="00A568B1" w:rsidP="00A568B1">
      <w:pPr>
        <w:tabs>
          <w:tab w:val="left" w:pos="709"/>
        </w:tabs>
        <w:spacing w:after="0" w:line="240" w:lineRule="auto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_________</w:t>
      </w:r>
      <w:r w:rsidR="000762BA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</w:p>
    <w:p w14:paraId="2325F7DE" w14:textId="64095DD5" w:rsidR="00F45205" w:rsidRPr="004E521B" w:rsidRDefault="004E521B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521B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="00A568B1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Спрогнозувати </w:t>
      </w:r>
      <w:r w:rsidR="00AA38D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(визначити) орієнтовну </w:t>
      </w:r>
      <w:r w:rsidR="00F45651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кількість 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транспортних засобів (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AA38D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тому числі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залежно від їх маси), які будуть доставлені 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допомогою евакуаторів на спеціальні майданчики чи стоянки 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суб’єкт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ами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господарювання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як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провад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ть діяльність, пов’язану з транспортуванням транспортних засобів, і з яким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територіальним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 тому числі міжрегіональним</w:t>
      </w:r>
      <w:r w:rsidR="008C52DD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) орган</w:t>
      </w:r>
      <w:r w:rsidR="00FF03C4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ами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Національної поліції </w:t>
      </w:r>
      <w:r w:rsidR="00AB27B1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України 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укладен</w:t>
      </w:r>
      <w:r w:rsidR="00893BA3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AE4905" w:rsidRP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установленому порядку договори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4905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місяць (рік) </w:t>
      </w:r>
      <w:r w:rsidR="00117009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</w:rPr>
        <w:t>неможливо.</w:t>
      </w:r>
    </w:p>
    <w:p w14:paraId="39D80A2B" w14:textId="77777777" w:rsidR="004E521B" w:rsidRPr="00EC6FE9" w:rsidRDefault="004E521B" w:rsidP="00A450C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B58F8B" w14:textId="45AD2EA9" w:rsidR="0006448A" w:rsidRPr="00EC6FE9" w:rsidRDefault="00D51CD2" w:rsidP="00A450C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Вибір найбільш оптимального альтернативного способу </w:t>
      </w:r>
    </w:p>
    <w:p w14:paraId="17E3391A" w14:textId="491AF4FB" w:rsidR="000309E9" w:rsidRDefault="0006448A" w:rsidP="00A450C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досягнення цілей</w:t>
      </w:r>
    </w:p>
    <w:p w14:paraId="2A3513AE" w14:textId="40666CE6" w:rsidR="00D508F0" w:rsidRDefault="00D508F0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bookmarkStart w:id="3" w:name="_Hlk149031932"/>
      <w:r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346C7BF0" w14:textId="39EF8754" w:rsidR="00D508F0" w:rsidRDefault="00A15DEF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r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Кількість</w:t>
      </w:r>
      <w:r w:rsid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балів визначається за чотирибальною системою оцінки ступеня досягнення визначених цілей, де:</w:t>
      </w:r>
    </w:p>
    <w:p w14:paraId="352A1451" w14:textId="167AE8CA" w:rsidR="00D508F0" w:rsidRPr="00D508F0" w:rsidRDefault="00D508F0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4 </w:t>
      </w:r>
      <w:r w:rsidR="00B968EC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–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цілі </w:t>
      </w:r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видання </w:t>
      </w:r>
      <w:proofErr w:type="spellStart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проєкту</w:t>
      </w:r>
      <w:proofErr w:type="spellEnd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наказу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, які можуть бути досягнуті повною мірою (проблема більше існувати не буде);</w:t>
      </w:r>
    </w:p>
    <w:p w14:paraId="625BACD3" w14:textId="6B652690" w:rsidR="00D508F0" w:rsidRPr="00D508F0" w:rsidRDefault="00D508F0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3 </w:t>
      </w:r>
      <w:r w:rsidR="00B968EC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–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цілі</w:t>
      </w:r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видання </w:t>
      </w:r>
      <w:proofErr w:type="spellStart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проєкту</w:t>
      </w:r>
      <w:proofErr w:type="spellEnd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наказу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, які можуть бути досягнуті майже повною мірою (усі важливі аспекти проблеми існувати не будуть);</w:t>
      </w:r>
    </w:p>
    <w:p w14:paraId="50F90CD7" w14:textId="0D17EFA9" w:rsidR="00D508F0" w:rsidRPr="00D508F0" w:rsidRDefault="00D508F0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2 </w:t>
      </w:r>
      <w:r w:rsidR="00B968EC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–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цілі</w:t>
      </w:r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видання </w:t>
      </w:r>
      <w:proofErr w:type="spellStart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проєкту</w:t>
      </w:r>
      <w:proofErr w:type="spellEnd"/>
      <w:r w:rsidR="001829D3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наказу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, які можуть бути досягнуті частково (проблема значно зменшиться, деякі важливі та критичні аспекти проблеми залишаться </w:t>
      </w:r>
      <w:proofErr w:type="spellStart"/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не</w:t>
      </w:r>
      <w:r w:rsidR="006F2162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розв</w:t>
      </w:r>
      <w:proofErr w:type="spellEnd"/>
      <w:r w:rsidR="006F2162">
        <w:rPr>
          <w:rStyle w:val="rvts15"/>
          <w:rFonts w:ascii="Times New Roman" w:hAnsi="Times New Roman" w:cs="Times New Roman"/>
          <w:bCs/>
          <w:color w:val="000000" w:themeColor="text1"/>
          <w:sz w:val="28"/>
          <w:lang w:val="en-US"/>
        </w:rPr>
        <w:t>’</w:t>
      </w:r>
      <w:proofErr w:type="spellStart"/>
      <w:r w:rsidR="006F2162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язаними</w:t>
      </w:r>
      <w:proofErr w:type="spellEnd"/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);</w:t>
      </w:r>
    </w:p>
    <w:p w14:paraId="7BD81BD7" w14:textId="1EBAA4AC" w:rsidR="00B968EC" w:rsidRDefault="00D508F0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1 </w:t>
      </w:r>
      <w:r w:rsidR="00B968EC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–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цілі</w:t>
      </w:r>
      <w:r w:rsidR="009F3BDB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видання </w:t>
      </w:r>
      <w:proofErr w:type="spellStart"/>
      <w:r w:rsidR="009F3BDB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проєкту</w:t>
      </w:r>
      <w:proofErr w:type="spellEnd"/>
      <w:r w:rsidR="009F3BDB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 xml:space="preserve"> наказу</w:t>
      </w:r>
      <w:r w:rsidRPr="00D508F0"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  <w:t>, які не можуть бути досягнуті (проблема продовжує існувати).</w:t>
      </w:r>
    </w:p>
    <w:p w14:paraId="7008C837" w14:textId="77777777" w:rsidR="00A450C5" w:rsidRPr="00B968EC" w:rsidRDefault="00A450C5" w:rsidP="00A450C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bCs/>
          <w:color w:val="000000" w:themeColor="text1"/>
          <w:sz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693"/>
        <w:gridCol w:w="4111"/>
      </w:tblGrid>
      <w:tr w:rsidR="00A73602" w:rsidRPr="00EC6FE9" w14:paraId="755C9315" w14:textId="77777777" w:rsidTr="00B968E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03126288" w14:textId="48B5D074" w:rsidR="000309E9" w:rsidRPr="002A0A54" w:rsidRDefault="000309E9" w:rsidP="00957D5F">
            <w:pPr>
              <w:tabs>
                <w:tab w:val="left" w:pos="709"/>
              </w:tabs>
              <w:ind w:left="-112" w:right="-13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Рейтинг результативності (досягнення цілей під час </w:t>
            </w:r>
            <w:proofErr w:type="spellStart"/>
            <w:r w:rsidR="00A57F0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розв</w:t>
            </w:r>
            <w:proofErr w:type="spellEnd"/>
            <w:r w:rsidR="00A57F0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="00A57F0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язання</w:t>
            </w:r>
            <w:proofErr w:type="spellEnd"/>
            <w:r w:rsidR="00A57F0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проблем</w:t>
            </w:r>
            <w:r w:rsidR="00A57F06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A4D7" w14:textId="77777777" w:rsidR="000309E9" w:rsidRPr="002A0A54" w:rsidRDefault="000309E9" w:rsidP="00957D5F">
            <w:pPr>
              <w:tabs>
                <w:tab w:val="left" w:pos="709"/>
              </w:tabs>
              <w:ind w:left="-104" w:right="-110" w:firstLine="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Бал результативності </w:t>
            </w:r>
            <w:r w:rsidR="004C4C51"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(за чотирибальною системою оцінки)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B71A" w14:textId="77777777" w:rsidR="000309E9" w:rsidRPr="002A0A54" w:rsidRDefault="000309E9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Коментарі щодо присвоєння </w:t>
            </w:r>
          </w:p>
          <w:p w14:paraId="06E7600D" w14:textId="77777777" w:rsidR="000309E9" w:rsidRPr="002A0A54" w:rsidRDefault="000309E9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відповідного </w:t>
            </w:r>
            <w:proofErr w:type="spellStart"/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бала</w:t>
            </w:r>
            <w:proofErr w:type="spellEnd"/>
          </w:p>
        </w:tc>
      </w:tr>
      <w:tr w:rsidR="00A73602" w:rsidRPr="00EC6FE9" w14:paraId="7A6C0220" w14:textId="77777777" w:rsidTr="00B968EC">
        <w:trPr>
          <w:trHeight w:val="6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DF4" w14:textId="77777777" w:rsidR="000309E9" w:rsidRPr="00EC6FE9" w:rsidRDefault="000309E9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1</w:t>
            </w:r>
          </w:p>
          <w:p w14:paraId="00E9B744" w14:textId="77777777" w:rsidR="006D581B" w:rsidRPr="00EC6FE9" w:rsidRDefault="006D58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FED" w14:textId="03E9C7F4" w:rsidR="000309E9" w:rsidRPr="00EC6FE9" w:rsidRDefault="00136F31" w:rsidP="008E7D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F6B9" w14:textId="101095E3" w:rsidR="00102E57" w:rsidRPr="00EC6FE9" w:rsidRDefault="002A0A54" w:rsidP="00B9142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Збереження чинного регулювання не дає змоги досягти </w:t>
            </w:r>
            <w:r w:rsidR="001D79C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ц</w:t>
            </w:r>
            <w:r w:rsidR="001D79CB" w:rsidRPr="001D79C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іл</w:t>
            </w:r>
            <w:r w:rsidR="00847C3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державного регулювання, визначен</w:t>
            </w:r>
            <w:r w:rsidR="001D79C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і</w:t>
            </w:r>
            <w:r w:rsidR="001D79CB">
              <w:rPr>
                <w:spacing w:val="-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у пункті 1 цього Аналізу регуляторного впливу</w:t>
            </w:r>
            <w:r w:rsidR="00B968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(проблема продовжує існувати)</w:t>
            </w:r>
          </w:p>
        </w:tc>
      </w:tr>
      <w:tr w:rsidR="00B9142F" w:rsidRPr="00EC6FE9" w14:paraId="698263B0" w14:textId="77777777" w:rsidTr="00B968EC">
        <w:trPr>
          <w:trHeight w:val="4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D9F" w14:textId="77777777" w:rsidR="005A4B85" w:rsidRPr="00EC6FE9" w:rsidRDefault="005A4B85" w:rsidP="005A4B85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2</w:t>
            </w:r>
          </w:p>
          <w:p w14:paraId="7037DA4F" w14:textId="77777777" w:rsidR="006D581B" w:rsidRPr="00EC6FE9" w:rsidRDefault="006D581B" w:rsidP="004C4C51">
            <w:pPr>
              <w:tabs>
                <w:tab w:val="left" w:pos="709"/>
              </w:tabs>
              <w:ind w:right="-108"/>
              <w:jc w:val="both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8D4" w14:textId="77777777" w:rsidR="005A4B85" w:rsidRPr="00EC6FE9" w:rsidRDefault="005A4B85" w:rsidP="005A4B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B18" w14:textId="04A73855" w:rsidR="00102E57" w:rsidRPr="00EC6FE9" w:rsidRDefault="00F426FB" w:rsidP="00B9142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Дасть змогу </w:t>
            </w:r>
            <w:r w:rsidR="002A0A5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досягти поставлен</w:t>
            </w:r>
            <w:r w:rsidR="001D79C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их</w:t>
            </w:r>
            <w:r w:rsidR="002A0A5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цілей</w:t>
            </w:r>
          </w:p>
        </w:tc>
      </w:tr>
    </w:tbl>
    <w:p w14:paraId="4A374D53" w14:textId="77777777" w:rsidR="00740541" w:rsidRPr="00EC6FE9" w:rsidRDefault="00740541" w:rsidP="000644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1984"/>
      </w:tblGrid>
      <w:tr w:rsidR="00A73602" w:rsidRPr="00EC6FE9" w14:paraId="5C1D769A" w14:textId="77777777" w:rsidTr="000026BB">
        <w:tc>
          <w:tcPr>
            <w:tcW w:w="2122" w:type="dxa"/>
          </w:tcPr>
          <w:p w14:paraId="469E42B1" w14:textId="51F2010F" w:rsidR="0006448A" w:rsidRPr="000026BB" w:rsidRDefault="0006448A" w:rsidP="000026BB">
            <w:pPr>
              <w:tabs>
                <w:tab w:val="left" w:pos="709"/>
              </w:tabs>
              <w:ind w:left="-11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0026B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268" w:type="dxa"/>
          </w:tcPr>
          <w:p w14:paraId="40715C76" w14:textId="77777777" w:rsidR="0006448A" w:rsidRPr="002A0A54" w:rsidRDefault="0006448A" w:rsidP="00DF17A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Вигоди (підсумок)</w:t>
            </w:r>
          </w:p>
        </w:tc>
        <w:tc>
          <w:tcPr>
            <w:tcW w:w="3260" w:type="dxa"/>
          </w:tcPr>
          <w:p w14:paraId="57F504BD" w14:textId="77777777" w:rsidR="000E0EA8" w:rsidRPr="002A0A54" w:rsidRDefault="0006448A" w:rsidP="000C3775">
            <w:pPr>
              <w:tabs>
                <w:tab w:val="left" w:pos="709"/>
              </w:tabs>
              <w:ind w:left="-108" w:right="-1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Витрати </w:t>
            </w:r>
          </w:p>
          <w:p w14:paraId="6DC3B9BF" w14:textId="77777777" w:rsidR="0006448A" w:rsidRPr="002A0A54" w:rsidRDefault="0006448A" w:rsidP="000C3775">
            <w:pPr>
              <w:tabs>
                <w:tab w:val="left" w:pos="709"/>
              </w:tabs>
              <w:ind w:left="-108" w:right="-17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(підсумок)</w:t>
            </w:r>
          </w:p>
        </w:tc>
        <w:tc>
          <w:tcPr>
            <w:tcW w:w="1984" w:type="dxa"/>
          </w:tcPr>
          <w:p w14:paraId="08B9D498" w14:textId="77777777" w:rsidR="0006448A" w:rsidRPr="00D23040" w:rsidRDefault="0006448A" w:rsidP="00D23040">
            <w:pPr>
              <w:ind w:left="-75" w:right="-10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  <w:r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Обґрунтування</w:t>
            </w:r>
            <w:r w:rsidR="005802B0"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відповідного</w:t>
            </w:r>
            <w:r w:rsidR="005802B0"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місця</w:t>
            </w:r>
            <w:r w:rsidR="005802B0"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D23040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альтернативи в рейтингу</w:t>
            </w:r>
          </w:p>
        </w:tc>
      </w:tr>
      <w:tr w:rsidR="00A73602" w:rsidRPr="00EC6FE9" w14:paraId="24237F5A" w14:textId="77777777" w:rsidTr="000026BB">
        <w:trPr>
          <w:trHeight w:val="902"/>
        </w:trPr>
        <w:tc>
          <w:tcPr>
            <w:tcW w:w="2122" w:type="dxa"/>
          </w:tcPr>
          <w:p w14:paraId="715BD24D" w14:textId="77777777" w:rsidR="0006448A" w:rsidRPr="00EC6FE9" w:rsidRDefault="0006448A" w:rsidP="000026BB">
            <w:pPr>
              <w:tabs>
                <w:tab w:val="left" w:pos="709"/>
              </w:tabs>
              <w:ind w:left="-118" w:right="-108"/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1</w:t>
            </w:r>
          </w:p>
          <w:p w14:paraId="6A9FC470" w14:textId="77777777" w:rsidR="006D581B" w:rsidRPr="00EC6FE9" w:rsidRDefault="006D581B" w:rsidP="000026BB">
            <w:pPr>
              <w:tabs>
                <w:tab w:val="left" w:pos="709"/>
              </w:tabs>
              <w:ind w:left="-11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29A4CA" w14:textId="7ECD07AC" w:rsidR="002A0A54" w:rsidRDefault="002A0A54" w:rsidP="00D23040">
            <w:pPr>
              <w:ind w:right="-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D79C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Для держави</w:t>
            </w:r>
          </w:p>
          <w:p w14:paraId="1AAC50CA" w14:textId="399D962E" w:rsidR="00BE2B1D" w:rsidRPr="00BE2B1D" w:rsidRDefault="00BE2B1D" w:rsidP="00D23040">
            <w:pPr>
              <w:ind w:righ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Вигоди відсутні.</w:t>
            </w:r>
          </w:p>
          <w:p w14:paraId="0FE706D1" w14:textId="60556541" w:rsidR="002D363F" w:rsidRPr="002D363F" w:rsidRDefault="00BE2B1D" w:rsidP="002D363F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Збереження 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колізі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законодавстві в частині невідповідності визначен</w:t>
            </w:r>
            <w:r w:rsid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суб’єкт</w:t>
            </w:r>
            <w:r w:rsid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уповноважени</w:t>
            </w:r>
            <w:r w:rsid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встановлення розмірів плат за транспортування і зберігання </w:t>
            </w:r>
            <w:r w:rsidR="002D363F" w:rsidRPr="002D36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тимчасово затриманих транспортних засобів на спеціальних майданчиках (стоянках) </w:t>
            </w:r>
          </w:p>
          <w:p w14:paraId="12E0FB2E" w14:textId="347AB58E" w:rsidR="002A0A54" w:rsidRPr="0009492D" w:rsidRDefault="002A0A54" w:rsidP="00D23040">
            <w:pPr>
              <w:ind w:right="-10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949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Для громадян</w:t>
            </w:r>
          </w:p>
          <w:p w14:paraId="5003DC7D" w14:textId="2CD9C6CF" w:rsidR="002A0A54" w:rsidRDefault="001D79CB" w:rsidP="00D23040">
            <w:pPr>
              <w:ind w:righ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впливає</w:t>
            </w:r>
          </w:p>
          <w:p w14:paraId="6293CDF8" w14:textId="4378C7FC" w:rsidR="002A0A54" w:rsidRPr="0009492D" w:rsidRDefault="002A0A54" w:rsidP="00D23040">
            <w:pPr>
              <w:ind w:right="-107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949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Для суб’єктів господарювання</w:t>
            </w:r>
          </w:p>
          <w:p w14:paraId="45CA600A" w14:textId="1926C205" w:rsidR="0006448A" w:rsidRPr="00EC6FE9" w:rsidRDefault="002A0A54" w:rsidP="00D23040">
            <w:pPr>
              <w:ind w:right="-1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D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игоди в</w:t>
            </w:r>
            <w:r w:rsidRPr="00EC6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ідсутні</w:t>
            </w:r>
          </w:p>
        </w:tc>
        <w:tc>
          <w:tcPr>
            <w:tcW w:w="3260" w:type="dxa"/>
          </w:tcPr>
          <w:p w14:paraId="631A915D" w14:textId="2CFD2850" w:rsidR="002A0A54" w:rsidRPr="00AD7A48" w:rsidRDefault="002A0A54" w:rsidP="00972B77">
            <w:pPr>
              <w:tabs>
                <w:tab w:val="left" w:pos="709"/>
              </w:tabs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Для держави</w:t>
            </w:r>
          </w:p>
          <w:p w14:paraId="472C7F23" w14:textId="77777777" w:rsidR="002D363F" w:rsidRPr="00AD7A48" w:rsidRDefault="002D363F" w:rsidP="002D363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14:paraId="7C812785" w14:textId="1A6B0386" w:rsidR="00972B77" w:rsidRPr="00AD7A48" w:rsidRDefault="00972B77" w:rsidP="00972B7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громадян</w:t>
            </w:r>
          </w:p>
          <w:p w14:paraId="01D619D3" w14:textId="77777777" w:rsidR="00972B77" w:rsidRPr="00AD7A48" w:rsidRDefault="00972B77" w:rsidP="00972B7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14:paraId="0DA9548D" w14:textId="77777777" w:rsidR="00972B77" w:rsidRPr="00AD7A48" w:rsidRDefault="00972B77" w:rsidP="00972B77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суб’єктів господарювання</w:t>
            </w:r>
          </w:p>
          <w:p w14:paraId="3D49A6C8" w14:textId="7A2AB5AA" w:rsidR="00D23040" w:rsidRPr="00AD7A48" w:rsidRDefault="00D827BD" w:rsidP="00D2304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r w:rsidR="00D23040"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атверджені наказом № 967/1218/869 розміри плат не покривають витрат суб’єктів господарювання (підприємства, установи та організації), які провадять діяльність, </w:t>
            </w:r>
            <w:r w:rsidR="00D23040"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пов’язану з транспортуванням транспортних засобів, і з якими територіальним (у тому числі міжрегіональним) органом Національної поліції</w:t>
            </w:r>
            <w:r w:rsidR="00E56E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України</w:t>
            </w:r>
            <w:r w:rsidR="00D23040"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укладені в установленому порядку договори, за транспортування за допомогою евакуаторів одного тимчасово затриманого транспортного засобу на спеціальний майданчик чи стоянку (залежно від його маси), зокрема:</w:t>
            </w:r>
          </w:p>
          <w:p w14:paraId="4D9023DE" w14:textId="69FB27D5" w:rsidR="00D23040" w:rsidRPr="00AD7A48" w:rsidRDefault="00D23040" w:rsidP="00D2304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до 2 000 кг включно – 800</w:t>
            </w:r>
            <w:r w:rsidR="005705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грн;</w:t>
            </w:r>
          </w:p>
          <w:p w14:paraId="2DBCD3FE" w14:textId="5F870CFB" w:rsidR="00D23040" w:rsidRPr="00AD7A48" w:rsidRDefault="00D23040" w:rsidP="00D2304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 2 000 до 3 000 кг – 940</w:t>
            </w:r>
            <w:r w:rsidR="005705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грн;</w:t>
            </w:r>
          </w:p>
          <w:p w14:paraId="26664EB5" w14:textId="71968022" w:rsidR="00972B77" w:rsidRPr="00AD7A48" w:rsidRDefault="00D23040" w:rsidP="00D2304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 3 000 кг – 1</w:t>
            </w:r>
            <w:r w:rsidR="005705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140 грн</w:t>
            </w:r>
          </w:p>
          <w:p w14:paraId="7BCC322E" w14:textId="4C2777C0" w:rsidR="00FF03C4" w:rsidRPr="00AD7A48" w:rsidRDefault="00FF03C4" w:rsidP="008B0A80">
            <w:pPr>
              <w:ind w:firstLine="28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7A48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*Спрогнозувати кількість транспортних засобів (у тому числі залежно від їх маси), які будуть доставлені за допомогою евакуаторів на спеціальні майданчики чи стоянки суб’єктами господарювання, які провадять діяльність, пов’язану з транспортуванням транспортних засобів, і з якими територіальними (у тому числі міжрегіональним</w:t>
            </w:r>
            <w:r w:rsidR="0031382B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7A48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) органами Національної поліції </w:t>
            </w:r>
            <w:r w:rsidR="0031382B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України </w:t>
            </w:r>
            <w:r w:rsidRPr="00AD7A48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укладен</w:t>
            </w:r>
            <w:r w:rsidR="0031382B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D7A48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 xml:space="preserve"> в установленому порядку договори, за місяць (рік) неможлив</w:t>
            </w:r>
            <w:r w:rsidR="0001176E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984" w:type="dxa"/>
          </w:tcPr>
          <w:p w14:paraId="63ADF882" w14:textId="19A09544" w:rsidR="000309E9" w:rsidRPr="00EC6FE9" w:rsidRDefault="00972B77" w:rsidP="00A81F43">
            <w:pPr>
              <w:ind w:right="-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Альтернатива є неприйнятною, оскільки не відповідає поставленим цілям</w:t>
            </w:r>
          </w:p>
        </w:tc>
      </w:tr>
      <w:tr w:rsidR="006454E8" w:rsidRPr="00EC6FE9" w14:paraId="54509F13" w14:textId="77777777" w:rsidTr="000026BB">
        <w:trPr>
          <w:trHeight w:val="3917"/>
        </w:trPr>
        <w:tc>
          <w:tcPr>
            <w:tcW w:w="2122" w:type="dxa"/>
          </w:tcPr>
          <w:p w14:paraId="00D9574C" w14:textId="77777777" w:rsidR="000309E9" w:rsidRPr="00EC6FE9" w:rsidRDefault="000309E9" w:rsidP="000026BB">
            <w:pPr>
              <w:tabs>
                <w:tab w:val="left" w:pos="709"/>
              </w:tabs>
              <w:ind w:left="-118" w:right="-108"/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Альтернатива 2</w:t>
            </w:r>
          </w:p>
          <w:p w14:paraId="2CF6A98B" w14:textId="77777777" w:rsidR="006D581B" w:rsidRPr="00EC6FE9" w:rsidRDefault="006D581B" w:rsidP="000026BB">
            <w:pPr>
              <w:tabs>
                <w:tab w:val="left" w:pos="709"/>
              </w:tabs>
              <w:ind w:left="-118" w:right="-108"/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AE1548" w14:textId="77777777" w:rsidR="00D23040" w:rsidRPr="00094E15" w:rsidRDefault="00D23040" w:rsidP="00D23040">
            <w:pPr>
              <w:ind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держави</w:t>
            </w:r>
          </w:p>
          <w:p w14:paraId="41523536" w14:textId="7D660285" w:rsidR="00BE2B1D" w:rsidRPr="00094E15" w:rsidRDefault="000026BB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</w:t>
            </w:r>
            <w:proofErr w:type="spellStart"/>
            <w:r w:rsidR="002F7303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2F7303">
              <w:rPr>
                <w:rFonts w:ascii="Times New Roman" w:hAnsi="Times New Roman" w:cs="Times New Roman"/>
                <w:sz w:val="28"/>
                <w:szCs w:val="28"/>
              </w:rPr>
              <w:t xml:space="preserve"> наказу </w:t>
            </w:r>
            <w:r w:rsidR="008B0A80">
              <w:rPr>
                <w:rFonts w:ascii="Times New Roman" w:hAnsi="Times New Roman" w:cs="Times New Roman"/>
                <w:sz w:val="28"/>
                <w:szCs w:val="28"/>
              </w:rPr>
              <w:t xml:space="preserve">дасть змогу </w:t>
            </w:r>
            <w:r w:rsidR="00BE2B1D" w:rsidRPr="00094E15">
              <w:rPr>
                <w:rFonts w:ascii="Times New Roman" w:hAnsi="Times New Roman" w:cs="Times New Roman"/>
                <w:sz w:val="28"/>
                <w:szCs w:val="28"/>
              </w:rPr>
              <w:t>усунути</w:t>
            </w:r>
          </w:p>
          <w:p w14:paraId="137FE06E" w14:textId="57854E5D" w:rsidR="00BE2B1D" w:rsidRPr="00094E15" w:rsidRDefault="00BE2B1D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sz w:val="28"/>
                <w:szCs w:val="28"/>
              </w:rPr>
              <w:t>колізію норм права в частині визначених суб’єктів, уповноважених на встановлення розмірів плат за транспортування і зберігання тимчасово затриманих транспортних засобів на спеціальних майданчиках (стоянках).</w:t>
            </w:r>
          </w:p>
          <w:p w14:paraId="49BF878B" w14:textId="7EDB91E3" w:rsidR="00D23040" w:rsidRPr="00094E15" w:rsidRDefault="00D23040" w:rsidP="00D23040">
            <w:pPr>
              <w:ind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громадян</w:t>
            </w:r>
          </w:p>
          <w:p w14:paraId="53BFBF7A" w14:textId="7071D736" w:rsidR="00D23040" w:rsidRPr="00094E15" w:rsidRDefault="001D79CB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sz w:val="28"/>
                <w:szCs w:val="28"/>
              </w:rPr>
              <w:t>Не впливає</w:t>
            </w:r>
          </w:p>
          <w:p w14:paraId="7E219F4E" w14:textId="77777777" w:rsidR="00D23040" w:rsidRPr="00094E15" w:rsidRDefault="00D23040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суб’єктів господарювання</w:t>
            </w:r>
          </w:p>
          <w:p w14:paraId="6F6112DF" w14:textId="301C1895" w:rsidR="00C8790D" w:rsidRPr="00094E15" w:rsidRDefault="00D23040" w:rsidP="00BE2B1D">
            <w:pPr>
              <w:tabs>
                <w:tab w:val="left" w:pos="709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94E15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260" w:type="dxa"/>
          </w:tcPr>
          <w:p w14:paraId="6828C014" w14:textId="77777777" w:rsidR="00D23040" w:rsidRPr="00AD7A48" w:rsidRDefault="00D23040" w:rsidP="00D23040">
            <w:pPr>
              <w:ind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держави</w:t>
            </w:r>
          </w:p>
          <w:p w14:paraId="7E5DA6D0" w14:textId="77777777" w:rsidR="00D23040" w:rsidRPr="00AD7A48" w:rsidRDefault="00D23040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14:paraId="69D57AD0" w14:textId="77777777" w:rsidR="00D23040" w:rsidRPr="00AD7A48" w:rsidRDefault="00D23040" w:rsidP="00D23040">
            <w:pPr>
              <w:ind w:right="-1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громадян</w:t>
            </w:r>
          </w:p>
          <w:p w14:paraId="3DD56424" w14:textId="77777777" w:rsidR="00D23040" w:rsidRPr="00AD7A48" w:rsidRDefault="00D23040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14:paraId="3E6F861B" w14:textId="77777777" w:rsidR="00D23040" w:rsidRPr="00AD7A48" w:rsidRDefault="00D23040" w:rsidP="00D23040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суб’єктів господарювання</w:t>
            </w:r>
          </w:p>
          <w:p w14:paraId="65FCA2B3" w14:textId="053E719E" w:rsidR="000309E9" w:rsidRPr="00AD7A48" w:rsidRDefault="00D827BD" w:rsidP="00112A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Витрати на 1 </w:t>
            </w:r>
            <w:r w:rsidR="00112AB1"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суб’єкт</w:t>
            </w:r>
            <w:r w:rsidR="008B0A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 </w:t>
            </w:r>
            <w:r w:rsidRPr="00AD7A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господарювання</w:t>
            </w:r>
            <w:r w:rsidR="005C15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="008B0A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="00094E15" w:rsidRPr="00AD7A48">
              <w:rPr>
                <w:rFonts w:ascii="Times New Roman" w:hAnsi="Times New Roman" w:cs="Times New Roman"/>
                <w:sz w:val="28"/>
                <w:szCs w:val="28"/>
              </w:rPr>
              <w:t>60,69 </w:t>
            </w:r>
            <w:r w:rsidRPr="00AD7A48">
              <w:rPr>
                <w:rFonts w:ascii="Times New Roman" w:hAnsi="Times New Roman" w:cs="Times New Roman"/>
                <w:sz w:val="28"/>
                <w:szCs w:val="28"/>
              </w:rPr>
              <w:t>грн (витрати носять разовий характер)</w:t>
            </w:r>
          </w:p>
        </w:tc>
        <w:tc>
          <w:tcPr>
            <w:tcW w:w="1984" w:type="dxa"/>
          </w:tcPr>
          <w:p w14:paraId="27FA9C73" w14:textId="1F2800D8" w:rsidR="000309E9" w:rsidRPr="001D79CB" w:rsidRDefault="00D23040" w:rsidP="001D79CB">
            <w:pPr>
              <w:tabs>
                <w:tab w:val="left" w:pos="709"/>
              </w:tabs>
              <w:ind w:left="-75" w:right="-101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Є найбільш </w:t>
            </w:r>
            <w:r w:rsidR="000E0EA8"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оптималь</w:t>
            </w:r>
            <w:r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ною</w:t>
            </w:r>
            <w:r w:rsidR="000E0EA8"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серед запропонованих альтернатив</w:t>
            </w:r>
            <w:r w:rsidR="001D79CB"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для держави і суб’єктів господарювання, </w:t>
            </w:r>
            <w:r w:rsidR="000E0EA8"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оскільки дає змогу повністю досягнути </w:t>
            </w:r>
            <w:r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поставле</w:t>
            </w:r>
            <w:r w:rsidR="000E0EA8"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них цілей</w:t>
            </w:r>
            <w:r w:rsidRPr="001D79CB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державного регулювання</w:t>
            </w:r>
          </w:p>
        </w:tc>
      </w:tr>
    </w:tbl>
    <w:p w14:paraId="55DEA25D" w14:textId="4B8E7F51" w:rsidR="00D85663" w:rsidRDefault="00D85663" w:rsidP="00A645FF">
      <w:pPr>
        <w:tabs>
          <w:tab w:val="left" w:pos="709"/>
        </w:tabs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2263"/>
        <w:gridCol w:w="4253"/>
        <w:gridCol w:w="3119"/>
      </w:tblGrid>
      <w:tr w:rsidR="00141C1D" w:rsidRPr="00EC6FE9" w14:paraId="50C1130D" w14:textId="77777777" w:rsidTr="009460A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8F6F" w14:textId="53D38322" w:rsidR="00141C1D" w:rsidRPr="002A0A54" w:rsidRDefault="00141C1D" w:rsidP="008164D9">
            <w:pPr>
              <w:tabs>
                <w:tab w:val="left" w:pos="709"/>
              </w:tabs>
              <w:ind w:left="-112" w:right="-13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0A54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Рейтинг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8B1D" w14:textId="1AC22A6B" w:rsidR="00141C1D" w:rsidRPr="002A0A54" w:rsidRDefault="00141C1D" w:rsidP="00141C1D">
            <w:pPr>
              <w:tabs>
                <w:tab w:val="left" w:pos="709"/>
              </w:tabs>
              <w:ind w:left="-104" w:right="-110" w:firstLine="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1C1D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011" w14:textId="353FB1B8" w:rsidR="00141C1D" w:rsidRPr="00141C1D" w:rsidRDefault="00141C1D" w:rsidP="00141C1D">
            <w:pPr>
              <w:tabs>
                <w:tab w:val="left" w:pos="709"/>
              </w:tabs>
              <w:ind w:left="-104" w:right="-110" w:firstLine="104"/>
              <w:jc w:val="center"/>
              <w:rPr>
                <w:rStyle w:val="rvts0"/>
                <w:rFonts w:ascii="Times New Roman" w:hAnsi="Times New Roman" w:cs="Times New Roman"/>
              </w:rPr>
            </w:pPr>
            <w:r w:rsidRPr="00141C1D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41C1D" w:rsidRPr="00EC6FE9" w14:paraId="30B2F06E" w14:textId="77777777" w:rsidTr="009460AE">
        <w:trPr>
          <w:trHeight w:val="6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C2A0" w14:textId="77777777" w:rsidR="00141C1D" w:rsidRPr="00141C1D" w:rsidRDefault="00141C1D" w:rsidP="008164D9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C1D">
              <w:rPr>
                <w:rStyle w:val="rvts0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Альтернатива 1</w:t>
            </w:r>
          </w:p>
          <w:p w14:paraId="43AB32FD" w14:textId="77777777" w:rsidR="00141C1D" w:rsidRPr="00141C1D" w:rsidRDefault="00141C1D" w:rsidP="008164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D7B" w14:textId="77777777" w:rsidR="00141C1D" w:rsidRPr="00141C1D" w:rsidRDefault="00141C1D" w:rsidP="009460AE">
            <w:pPr>
              <w:tabs>
                <w:tab w:val="left" w:pos="709"/>
              </w:tabs>
              <w:ind w:right="-1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C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Переваги відсутні.</w:t>
            </w:r>
          </w:p>
          <w:p w14:paraId="19CFFCF6" w14:textId="24B9380A" w:rsidR="00141C1D" w:rsidRPr="00141C1D" w:rsidRDefault="00141C1D" w:rsidP="009460AE">
            <w:pPr>
              <w:tabs>
                <w:tab w:val="left" w:pos="709"/>
              </w:tabs>
              <w:ind w:right="-1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1C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Збереження чинного регулювання унеможливлює виконання вимог Порядку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62B" w14:textId="4B1FBE3D" w:rsidR="00141C1D" w:rsidRPr="00141C1D" w:rsidRDefault="00141C1D" w:rsidP="008164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Вплив</w:t>
            </w:r>
            <w:r w:rsidR="00D20D31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зовнішніх факторів на дію </w:t>
            </w:r>
            <w:r w:rsidRPr="00141C1D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регуляторного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акта не очікується</w:t>
            </w:r>
          </w:p>
        </w:tc>
      </w:tr>
      <w:tr w:rsidR="009460AE" w:rsidRPr="00EC6FE9" w14:paraId="47CB0D8C" w14:textId="77777777" w:rsidTr="009460AE">
        <w:trPr>
          <w:trHeight w:val="4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983" w14:textId="77777777" w:rsidR="009460AE" w:rsidRPr="00EC6FE9" w:rsidRDefault="009460AE" w:rsidP="009460AE">
            <w:pPr>
              <w:tabs>
                <w:tab w:val="left" w:pos="709"/>
              </w:tabs>
              <w:jc w:val="center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6FE9"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Альтернатива 2</w:t>
            </w:r>
          </w:p>
          <w:p w14:paraId="3548705B" w14:textId="77777777" w:rsidR="009460AE" w:rsidRPr="00EC6FE9" w:rsidRDefault="009460AE" w:rsidP="009460AE">
            <w:pPr>
              <w:tabs>
                <w:tab w:val="left" w:pos="709"/>
              </w:tabs>
              <w:ind w:right="-108"/>
              <w:jc w:val="both"/>
              <w:rPr>
                <w:rStyle w:val="rvt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861" w14:textId="77777777" w:rsidR="009460AE" w:rsidRDefault="009460AE" w:rsidP="009460AE">
            <w:pPr>
              <w:tabs>
                <w:tab w:val="left" w:pos="709"/>
              </w:tabs>
              <w:ind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Обрана альтернатива  дасть змогу досягти поставлених цілей.</w:t>
            </w:r>
          </w:p>
          <w:p w14:paraId="370B1DC3" w14:textId="65CC6B15" w:rsidR="009460AE" w:rsidRPr="00EC6FE9" w:rsidRDefault="009460AE" w:rsidP="009460AE">
            <w:pPr>
              <w:tabs>
                <w:tab w:val="left" w:pos="709"/>
              </w:tabs>
              <w:ind w:right="-1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Дозволить привести підзаконний акт нижчої юридичної сили у відповідність до чинного законодавства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F5A" w14:textId="1BD1FCE2" w:rsidR="009460AE" w:rsidRPr="00EC6FE9" w:rsidRDefault="009460AE" w:rsidP="009460A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Вплив</w:t>
            </w:r>
            <w:r w:rsidR="00D20D31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зовнішніх факторів на дію </w:t>
            </w:r>
            <w:r w:rsidRPr="00141C1D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регуляторного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акта не очікується</w:t>
            </w:r>
          </w:p>
        </w:tc>
      </w:tr>
    </w:tbl>
    <w:p w14:paraId="4DF2ED81" w14:textId="77777777" w:rsidR="00EB5373" w:rsidRDefault="00EB5373" w:rsidP="009F3B2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</w:pPr>
    </w:p>
    <w:p w14:paraId="33F377B1" w14:textId="7A0601B4" w:rsidR="00A645FF" w:rsidRPr="00EC6FE9" w:rsidRDefault="00A645FF" w:rsidP="009F3B2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</w:pPr>
      <w:r w:rsidRPr="00EC6FE9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Негативн</w:t>
      </w:r>
      <w:r w:rsidR="00D20D31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их</w:t>
      </w:r>
      <w:r w:rsidRPr="00EC6FE9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 xml:space="preserve"> результат</w:t>
      </w:r>
      <w:r w:rsidR="00D20D31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ів</w:t>
      </w:r>
      <w:r w:rsidRPr="00EC6FE9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 xml:space="preserve"> від </w:t>
      </w:r>
      <w:r w:rsidR="00EB5373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 xml:space="preserve">видання </w:t>
      </w:r>
      <w:proofErr w:type="spellStart"/>
      <w:r w:rsidR="00EB5373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проєкту</w:t>
      </w:r>
      <w:proofErr w:type="spellEnd"/>
      <w:r w:rsidR="00EB5373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 xml:space="preserve"> наказу </w:t>
      </w:r>
      <w:r w:rsidRPr="00EC6FE9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не очіку</w:t>
      </w:r>
      <w:r w:rsidR="00D20D31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є</w:t>
      </w:r>
      <w:r w:rsidRPr="00EC6FE9">
        <w:rPr>
          <w:rStyle w:val="rvts15"/>
          <w:rFonts w:ascii="Times New Roman" w:hAnsi="Times New Roman" w:cs="Times New Roman"/>
          <w:color w:val="000000" w:themeColor="text1"/>
          <w:spacing w:val="-8"/>
          <w:sz w:val="28"/>
        </w:rPr>
        <w:t>ться.</w:t>
      </w:r>
    </w:p>
    <w:p w14:paraId="78779DC4" w14:textId="77777777" w:rsidR="00C024BC" w:rsidRPr="00EC6FE9" w:rsidRDefault="00C024BC" w:rsidP="009F3B2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z w:val="28"/>
        </w:rPr>
      </w:pPr>
    </w:p>
    <w:p w14:paraId="57451D95" w14:textId="6A3A46E3" w:rsidR="0006448A" w:rsidRPr="00EC6FE9" w:rsidRDefault="0006448A" w:rsidP="009F3B2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V. Механізми та заходи, які забезпечать розв’язання визначеної проблеми</w:t>
      </w:r>
    </w:p>
    <w:p w14:paraId="1180101F" w14:textId="21EB32C4" w:rsidR="009460AE" w:rsidRDefault="00EC2621" w:rsidP="009F3B2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Для розв’язання проблем</w:t>
      </w:r>
      <w:r w:rsidR="006D7CD8" w:rsidRPr="00EC6FE9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FE9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визначених у розділі І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149032474"/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цього </w:t>
      </w:r>
      <w:r w:rsidR="00FC6BA1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налізу регуляторного впливу, </w:t>
      </w:r>
      <w:bookmarkEnd w:id="4"/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пропонується визнати таким, що втратив чинність</w:t>
      </w:r>
      <w:r w:rsidRPr="00EC6FE9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наказ Міністерства внутрішніх справ України, Міністерства економічного розвитку і торгівлі України та Міністерства фінансів України від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жовтня 2013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року №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967/1218/869 «Про затвердження розмірів плат за транспортування і зберігання тимчасово затриманих транспортних засобів на спеціальних майданчиках (стоянках)», зареєстрован</w:t>
      </w:r>
      <w:r w:rsidR="00295A53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A53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Міністерстві юстиції України 06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листопада 2013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року за №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60AE" w:rsidRP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1887/24419</w:t>
      </w:r>
      <w:r w:rsidR="009460AE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04D3C3" w14:textId="3F173804" w:rsidR="009460AE" w:rsidRDefault="009460AE" w:rsidP="009F3B25">
      <w:pPr>
        <w:tabs>
          <w:tab w:val="left" w:pos="709"/>
        </w:tabs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Для впровадження вимог державного регулювання МВС необхідно забезпечити інформування про вимоги </w:t>
      </w:r>
      <w:proofErr w:type="spellStart"/>
      <w:r w:rsidR="005B6FA0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5B6FA0"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</w:t>
      </w:r>
      <w:r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 xml:space="preserve">шляхом його оприлюднення на своєму офіційному </w:t>
      </w:r>
      <w:proofErr w:type="spellStart"/>
      <w:r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A8D40F" w14:textId="0DD8DA32" w:rsidR="00F31CDC" w:rsidRPr="00EC6FE9" w:rsidRDefault="0006448A" w:rsidP="009F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6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Заходи, </w:t>
      </w:r>
      <w:r w:rsidR="00F31CDC" w:rsidRPr="00EC6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 пропонуються для розв’язання проблеми:</w:t>
      </w:r>
    </w:p>
    <w:p w14:paraId="631814FE" w14:textId="44A8FA99" w:rsidR="00864736" w:rsidRDefault="00864736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_Hlk14903256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суб’єкти господарювання – ознайомлення з положеннями </w:t>
      </w:r>
      <w:proofErr w:type="spellStart"/>
      <w:r w:rsidR="00C92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C920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16669E4" w14:textId="5A09669F" w:rsidR="0006448A" w:rsidRPr="00EC6FE9" w:rsidRDefault="00864736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дії органів державної влади – ознайомлення з редакцією </w:t>
      </w:r>
      <w:proofErr w:type="spellStart"/>
      <w:r w:rsidR="006830E1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68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дотримання його вимог під час виконання своїх повноважень</w:t>
      </w:r>
      <w:r w:rsidR="0006448A" w:rsidRPr="00EC6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"/>
    <w:p w14:paraId="337BACA6" w14:textId="77777777" w:rsidR="00763548" w:rsidRPr="00EC6FE9" w:rsidRDefault="00763548" w:rsidP="009F3B25">
      <w:pPr>
        <w:tabs>
          <w:tab w:val="left" w:pos="709"/>
        </w:tabs>
        <w:spacing w:after="0" w:line="240" w:lineRule="auto"/>
        <w:ind w:firstLine="567"/>
        <w:rPr>
          <w:rStyle w:val="rvts15"/>
          <w:rFonts w:ascii="Times New Roman" w:hAnsi="Times New Roman" w:cs="Times New Roman"/>
          <w:b/>
          <w:color w:val="000000" w:themeColor="text1"/>
          <w:sz w:val="28"/>
        </w:rPr>
      </w:pPr>
    </w:p>
    <w:p w14:paraId="7FB48C49" w14:textId="6047D266" w:rsidR="0015613F" w:rsidRPr="00EC6FE9" w:rsidRDefault="0006448A" w:rsidP="009F3B2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</w:t>
      </w:r>
      <w:r w:rsidR="00887657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виконувати ці вимоги</w:t>
      </w:r>
    </w:p>
    <w:p w14:paraId="3B2EC405" w14:textId="4A3D76A7" w:rsidR="008853AE" w:rsidRPr="006B2C35" w:rsidRDefault="008853AE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35">
        <w:rPr>
          <w:rFonts w:ascii="Times New Roman" w:hAnsi="Times New Roman" w:cs="Times New Roman"/>
          <w:sz w:val="28"/>
          <w:szCs w:val="28"/>
        </w:rPr>
        <w:t xml:space="preserve">Впливу зовнішніх факторів на дію </w:t>
      </w:r>
      <w:proofErr w:type="spellStart"/>
      <w:r w:rsidR="00F72E89">
        <w:rPr>
          <w:rFonts w:ascii="Times New Roman" w:hAnsi="Times New Roman"/>
          <w:sz w:val="28"/>
          <w:szCs w:val="28"/>
        </w:rPr>
        <w:t>проєкту</w:t>
      </w:r>
      <w:proofErr w:type="spellEnd"/>
      <w:r w:rsidR="00F72E89">
        <w:rPr>
          <w:rFonts w:ascii="Times New Roman" w:hAnsi="Times New Roman"/>
          <w:sz w:val="28"/>
          <w:szCs w:val="28"/>
        </w:rPr>
        <w:t xml:space="preserve"> наказу </w:t>
      </w:r>
      <w:r w:rsidRPr="006B2C35">
        <w:rPr>
          <w:rFonts w:ascii="Times New Roman" w:hAnsi="Times New Roman" w:cs="Times New Roman"/>
          <w:sz w:val="28"/>
          <w:szCs w:val="28"/>
        </w:rPr>
        <w:t>не очікується.</w:t>
      </w:r>
    </w:p>
    <w:p w14:paraId="0782262A" w14:textId="2C037A8E" w:rsidR="006B2C35" w:rsidRPr="00AD7A48" w:rsidRDefault="00F72E89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Видання </w:t>
      </w:r>
      <w:bookmarkStart w:id="6" w:name="_Hlk148372795"/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r w:rsidR="00685B7B" w:rsidRPr="006B2C35">
        <w:rPr>
          <w:rFonts w:ascii="Times New Roman" w:hAnsi="Times New Roman" w:cs="Times New Roman"/>
          <w:sz w:val="28"/>
          <w:szCs w:val="28"/>
        </w:rPr>
        <w:t>д</w:t>
      </w:r>
      <w:r w:rsidR="00E41700">
        <w:rPr>
          <w:rFonts w:ascii="Times New Roman" w:hAnsi="Times New Roman" w:cs="Times New Roman"/>
          <w:sz w:val="28"/>
          <w:szCs w:val="28"/>
        </w:rPr>
        <w:t>асть змогу</w:t>
      </w:r>
      <w:r w:rsidR="00685B7B" w:rsidRPr="006B2C35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6B2C35" w:rsidRPr="006B2C35">
        <w:rPr>
          <w:rFonts w:ascii="Times New Roman" w:hAnsi="Times New Roman" w:cs="Times New Roman"/>
          <w:sz w:val="28"/>
          <w:szCs w:val="28"/>
        </w:rPr>
        <w:t xml:space="preserve"> підзаконний акт нижчої юридичної сили у відповідність до </w:t>
      </w:r>
      <w:r w:rsidR="006B2C35">
        <w:rPr>
          <w:rFonts w:ascii="Times New Roman" w:hAnsi="Times New Roman" w:cs="Times New Roman"/>
          <w:sz w:val="28"/>
          <w:szCs w:val="28"/>
        </w:rPr>
        <w:t>вимог акта вищої юридичної сили, зокрема Порядку</w:t>
      </w:r>
      <w:bookmarkEnd w:id="6"/>
      <w:r w:rsidR="006B2C35" w:rsidRPr="006B2C35">
        <w:rPr>
          <w:rFonts w:ascii="Times New Roman" w:hAnsi="Times New Roman" w:cs="Times New Roman"/>
          <w:sz w:val="28"/>
          <w:szCs w:val="28"/>
        </w:rPr>
        <w:t>.</w:t>
      </w:r>
    </w:p>
    <w:p w14:paraId="651CCA2E" w14:textId="62DD2F89" w:rsidR="006B2C35" w:rsidRPr="00AD7A48" w:rsidRDefault="004E3239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Видання</w:t>
      </w:r>
      <w:r w:rsidR="00F447C0" w:rsidRPr="00AD7A48">
        <w:rPr>
          <w:rFonts w:ascii="Times New Roman" w:hAnsi="Times New Roman" w:cs="Times New Roman"/>
          <w:sz w:val="28"/>
          <w:szCs w:val="28"/>
        </w:rPr>
        <w:t xml:space="preserve"> та оприлюднення </w:t>
      </w:r>
      <w:proofErr w:type="spellStart"/>
      <w:r w:rsidR="00F447C0" w:rsidRPr="00AD7A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447C0" w:rsidRPr="00AD7A48">
        <w:rPr>
          <w:rFonts w:ascii="Times New Roman" w:hAnsi="Times New Roman" w:cs="Times New Roman"/>
          <w:sz w:val="28"/>
          <w:szCs w:val="28"/>
        </w:rPr>
        <w:t xml:space="preserve"> наказу в установленому порядку забезпечить доведення його до відома суб’єктів господарювання, на яких поширюватиметься </w:t>
      </w:r>
      <w:r w:rsidR="00112AB1" w:rsidRPr="00AD7A48">
        <w:rPr>
          <w:rFonts w:ascii="Times New Roman" w:hAnsi="Times New Roman" w:cs="Times New Roman"/>
          <w:sz w:val="28"/>
          <w:szCs w:val="28"/>
        </w:rPr>
        <w:t xml:space="preserve">його </w:t>
      </w:r>
      <w:r w:rsidR="00F447C0" w:rsidRPr="00AD7A48">
        <w:rPr>
          <w:rFonts w:ascii="Times New Roman" w:hAnsi="Times New Roman" w:cs="Times New Roman"/>
          <w:sz w:val="28"/>
          <w:szCs w:val="28"/>
        </w:rPr>
        <w:t xml:space="preserve">дія, </w:t>
      </w:r>
      <w:bookmarkStart w:id="7" w:name="_Hlk148711401"/>
      <w:r w:rsidR="00F447C0" w:rsidRPr="00AD7A48">
        <w:rPr>
          <w:rFonts w:ascii="Times New Roman" w:hAnsi="Times New Roman" w:cs="Times New Roman"/>
          <w:sz w:val="28"/>
          <w:szCs w:val="28"/>
        </w:rPr>
        <w:t>центральних та місцевих органів виконавчої влади і органів місцевого самоврядування та громадян</w:t>
      </w:r>
      <w:bookmarkEnd w:id="7"/>
      <w:r w:rsidR="00F447C0" w:rsidRPr="00AD7A48">
        <w:rPr>
          <w:rFonts w:ascii="Times New Roman" w:hAnsi="Times New Roman" w:cs="Times New Roman"/>
          <w:sz w:val="28"/>
          <w:szCs w:val="28"/>
        </w:rPr>
        <w:t>.</w:t>
      </w:r>
    </w:p>
    <w:p w14:paraId="597B31E4" w14:textId="0A291796" w:rsidR="00DC3DD6" w:rsidRDefault="002A1504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49032651"/>
      <w:r w:rsidRPr="00AD7A48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AA7AA6">
        <w:rPr>
          <w:rFonts w:ascii="Times New Roman" w:hAnsi="Times New Roman"/>
          <w:sz w:val="28"/>
          <w:szCs w:val="28"/>
        </w:rPr>
        <w:t>проєкту</w:t>
      </w:r>
      <w:proofErr w:type="spellEnd"/>
      <w:r w:rsidR="00AA7AA6">
        <w:rPr>
          <w:rFonts w:ascii="Times New Roman" w:hAnsi="Times New Roman"/>
          <w:sz w:val="28"/>
          <w:szCs w:val="28"/>
        </w:rPr>
        <w:t xml:space="preserve"> наказу </w:t>
      </w:r>
      <w:r w:rsidRPr="00AD7A48">
        <w:rPr>
          <w:rFonts w:ascii="Times New Roman" w:hAnsi="Times New Roman" w:cs="Times New Roman"/>
          <w:sz w:val="28"/>
          <w:szCs w:val="28"/>
        </w:rPr>
        <w:t xml:space="preserve">не потребує додаткових бюджетних витрат і ресурсів </w:t>
      </w:r>
      <w:r w:rsidR="00112AB1" w:rsidRPr="00AD7A48">
        <w:rPr>
          <w:rFonts w:ascii="Times New Roman" w:hAnsi="Times New Roman" w:cs="Times New Roman"/>
          <w:sz w:val="28"/>
          <w:szCs w:val="28"/>
        </w:rPr>
        <w:t xml:space="preserve">та не передбачає необхідності витрат з боку </w:t>
      </w:r>
      <w:r w:rsidR="00102E57" w:rsidRPr="00AD7A48">
        <w:rPr>
          <w:rFonts w:ascii="Times New Roman" w:hAnsi="Times New Roman" w:cs="Times New Roman"/>
          <w:sz w:val="28"/>
          <w:szCs w:val="28"/>
        </w:rPr>
        <w:t xml:space="preserve">органів виконавчої </w:t>
      </w:r>
      <w:r w:rsidR="00102E57" w:rsidRPr="006B2C35">
        <w:rPr>
          <w:rFonts w:ascii="Times New Roman" w:hAnsi="Times New Roman" w:cs="Times New Roman"/>
          <w:sz w:val="28"/>
          <w:szCs w:val="28"/>
        </w:rPr>
        <w:t xml:space="preserve">влади </w:t>
      </w:r>
      <w:r w:rsidR="00112AB1">
        <w:rPr>
          <w:rFonts w:ascii="Times New Roman" w:hAnsi="Times New Roman" w:cs="Times New Roman"/>
          <w:sz w:val="28"/>
          <w:szCs w:val="28"/>
        </w:rPr>
        <w:t>чи</w:t>
      </w:r>
      <w:r w:rsidR="00102E57" w:rsidRPr="006B2C35">
        <w:rPr>
          <w:rFonts w:ascii="Times New Roman" w:hAnsi="Times New Roman" w:cs="Times New Roman"/>
          <w:sz w:val="28"/>
          <w:szCs w:val="28"/>
        </w:rPr>
        <w:t xml:space="preserve"> органів місцевого самоврядування</w:t>
      </w:r>
      <w:r w:rsidR="00112AB1">
        <w:rPr>
          <w:rFonts w:ascii="Times New Roman" w:hAnsi="Times New Roman" w:cs="Times New Roman"/>
          <w:sz w:val="28"/>
          <w:szCs w:val="28"/>
        </w:rPr>
        <w:t xml:space="preserve">, тому розрахунки згідно з додатком 3 до Методики проведення аналізу впливу </w:t>
      </w:r>
      <w:proofErr w:type="spellStart"/>
      <w:r w:rsidR="00DC3DD6">
        <w:rPr>
          <w:rFonts w:ascii="Times New Roman" w:hAnsi="Times New Roman"/>
          <w:sz w:val="28"/>
          <w:szCs w:val="28"/>
        </w:rPr>
        <w:t>проєкту</w:t>
      </w:r>
      <w:proofErr w:type="spellEnd"/>
      <w:r w:rsidR="00DC3DD6">
        <w:rPr>
          <w:rFonts w:ascii="Times New Roman" w:hAnsi="Times New Roman"/>
          <w:sz w:val="28"/>
          <w:szCs w:val="28"/>
        </w:rPr>
        <w:t xml:space="preserve"> наказу </w:t>
      </w:r>
      <w:r w:rsidR="00112AB1">
        <w:rPr>
          <w:rFonts w:ascii="Times New Roman" w:hAnsi="Times New Roman" w:cs="Times New Roman"/>
          <w:sz w:val="28"/>
          <w:szCs w:val="28"/>
        </w:rPr>
        <w:t>не проводилис</w:t>
      </w:r>
      <w:r w:rsidR="0035047C">
        <w:rPr>
          <w:rFonts w:ascii="Times New Roman" w:hAnsi="Times New Roman" w:cs="Times New Roman"/>
          <w:sz w:val="28"/>
          <w:szCs w:val="28"/>
        </w:rPr>
        <w:t>я</w:t>
      </w:r>
      <w:r w:rsidR="0011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1AC1DC" w14:textId="3C5440CA" w:rsidR="00194D9D" w:rsidRDefault="00102E57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35">
        <w:rPr>
          <w:rFonts w:ascii="Times New Roman" w:hAnsi="Times New Roman" w:cs="Times New Roman"/>
          <w:sz w:val="28"/>
          <w:szCs w:val="28"/>
        </w:rPr>
        <w:t xml:space="preserve">Витрати </w:t>
      </w:r>
      <w:r w:rsidR="00233297" w:rsidRPr="006B2C35"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proofErr w:type="spellStart"/>
      <w:r w:rsidR="00DC3DD6">
        <w:rPr>
          <w:rFonts w:ascii="Times New Roman" w:hAnsi="Times New Roman"/>
          <w:sz w:val="28"/>
          <w:szCs w:val="28"/>
        </w:rPr>
        <w:t>проєкту</w:t>
      </w:r>
      <w:proofErr w:type="spellEnd"/>
      <w:r w:rsidR="00DC3DD6">
        <w:rPr>
          <w:rFonts w:ascii="Times New Roman" w:hAnsi="Times New Roman"/>
          <w:sz w:val="28"/>
          <w:szCs w:val="28"/>
        </w:rPr>
        <w:t xml:space="preserve"> наказу </w:t>
      </w:r>
      <w:r w:rsidR="00233297" w:rsidRPr="006B2C35">
        <w:rPr>
          <w:rFonts w:ascii="Times New Roman" w:hAnsi="Times New Roman" w:cs="Times New Roman"/>
          <w:sz w:val="28"/>
          <w:szCs w:val="28"/>
        </w:rPr>
        <w:t xml:space="preserve">здійснюватимуться в </w:t>
      </w:r>
      <w:r w:rsidR="00EC6DFB" w:rsidRPr="006B2C35">
        <w:rPr>
          <w:rFonts w:ascii="Times New Roman" w:hAnsi="Times New Roman" w:cs="Times New Roman"/>
          <w:sz w:val="28"/>
          <w:szCs w:val="28"/>
        </w:rPr>
        <w:t>межах</w:t>
      </w:r>
      <w:r w:rsidR="00233297" w:rsidRPr="006B2C35">
        <w:rPr>
          <w:rFonts w:ascii="Times New Roman" w:hAnsi="Times New Roman" w:cs="Times New Roman"/>
          <w:sz w:val="28"/>
          <w:szCs w:val="28"/>
        </w:rPr>
        <w:t xml:space="preserve"> бюджетного фінансування органів виконавчої влади</w:t>
      </w:r>
      <w:r w:rsidR="00194D9D" w:rsidRPr="006B2C35">
        <w:rPr>
          <w:rFonts w:ascii="Times New Roman" w:hAnsi="Times New Roman" w:cs="Times New Roman"/>
          <w:sz w:val="28"/>
          <w:szCs w:val="28"/>
        </w:rPr>
        <w:t>.</w:t>
      </w:r>
    </w:p>
    <w:p w14:paraId="42E2F96A" w14:textId="168BA68E" w:rsidR="00092A88" w:rsidRDefault="00112AB1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49032663"/>
      <w:bookmarkEnd w:id="8"/>
      <w:r>
        <w:rPr>
          <w:rFonts w:ascii="Times New Roman" w:hAnsi="Times New Roman" w:cs="Times New Roman"/>
          <w:sz w:val="28"/>
          <w:szCs w:val="28"/>
        </w:rPr>
        <w:t xml:space="preserve">Розрахунки витрат </w:t>
      </w:r>
      <w:r w:rsidR="00092A88"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z w:val="28"/>
          <w:szCs w:val="28"/>
        </w:rPr>
        <w:t xml:space="preserve"> господарювання великого і середнього </w:t>
      </w:r>
      <w:r w:rsidR="00092A88">
        <w:rPr>
          <w:rFonts w:ascii="Times New Roman" w:hAnsi="Times New Roman" w:cs="Times New Roman"/>
          <w:sz w:val="28"/>
          <w:szCs w:val="28"/>
        </w:rPr>
        <w:t>підприємництва не проводилис</w:t>
      </w:r>
      <w:r w:rsidR="002C02E5">
        <w:rPr>
          <w:rFonts w:ascii="Times New Roman" w:hAnsi="Times New Roman" w:cs="Times New Roman"/>
          <w:sz w:val="28"/>
          <w:szCs w:val="28"/>
        </w:rPr>
        <w:t>я</w:t>
      </w:r>
      <w:r w:rsidR="00092A88">
        <w:rPr>
          <w:rFonts w:ascii="Times New Roman" w:hAnsi="Times New Roman" w:cs="Times New Roman"/>
          <w:sz w:val="28"/>
          <w:szCs w:val="28"/>
        </w:rPr>
        <w:t>.</w:t>
      </w:r>
    </w:p>
    <w:p w14:paraId="05EDF901" w14:textId="4F547961" w:rsidR="00112AB1" w:rsidRPr="001A6B6C" w:rsidRDefault="00092A88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6C">
        <w:rPr>
          <w:rFonts w:ascii="Times New Roman" w:hAnsi="Times New Roman" w:cs="Times New Roman"/>
          <w:sz w:val="28"/>
          <w:szCs w:val="28"/>
        </w:rPr>
        <w:t xml:space="preserve">Розрахунки витрат суб’єктів малого та </w:t>
      </w:r>
      <w:proofErr w:type="spellStart"/>
      <w:r w:rsidRPr="001A6B6C">
        <w:rPr>
          <w:rFonts w:ascii="Times New Roman" w:hAnsi="Times New Roman" w:cs="Times New Roman"/>
          <w:sz w:val="28"/>
          <w:szCs w:val="28"/>
        </w:rPr>
        <w:t>мікропідприємництв</w:t>
      </w:r>
      <w:r w:rsidR="000501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6B6C">
        <w:rPr>
          <w:rFonts w:ascii="Times New Roman" w:hAnsi="Times New Roman" w:cs="Times New Roman"/>
          <w:sz w:val="28"/>
          <w:szCs w:val="28"/>
        </w:rPr>
        <w:t xml:space="preserve"> на виконання вимог регулювання наведено в додатку до </w:t>
      </w:r>
      <w:r w:rsidRPr="00234ACA">
        <w:rPr>
          <w:rFonts w:ascii="Times New Roman" w:hAnsi="Times New Roman" w:cs="Times New Roman"/>
          <w:sz w:val="28"/>
          <w:szCs w:val="28"/>
        </w:rPr>
        <w:t xml:space="preserve">цього </w:t>
      </w:r>
      <w:proofErr w:type="spellStart"/>
      <w:r w:rsidR="00BC2444">
        <w:rPr>
          <w:rFonts w:ascii="Times New Roman" w:hAnsi="Times New Roman" w:cs="Times New Roman"/>
          <w:sz w:val="28"/>
          <w:szCs w:val="28"/>
        </w:rPr>
        <w:t>а</w:t>
      </w:r>
      <w:r w:rsidR="00684DCF" w:rsidRPr="00234ACA">
        <w:rPr>
          <w:rFonts w:ascii="Times New Roman" w:hAnsi="Times New Roman" w:cs="Times New Roman"/>
          <w:sz w:val="28"/>
          <w:szCs w:val="28"/>
        </w:rPr>
        <w:t>наліз</w:t>
      </w:r>
      <w:r w:rsidR="00BC24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4ACA">
        <w:rPr>
          <w:rFonts w:ascii="Times New Roman" w:hAnsi="Times New Roman" w:cs="Times New Roman"/>
          <w:sz w:val="28"/>
          <w:szCs w:val="28"/>
        </w:rPr>
        <w:t xml:space="preserve"> </w:t>
      </w:r>
      <w:r w:rsidRPr="001A6B6C">
        <w:rPr>
          <w:rFonts w:ascii="Times New Roman" w:hAnsi="Times New Roman" w:cs="Times New Roman"/>
          <w:sz w:val="28"/>
          <w:szCs w:val="28"/>
        </w:rPr>
        <w:t xml:space="preserve">регуляторного впливу </w:t>
      </w:r>
      <w:r w:rsidR="00094E15">
        <w:rPr>
          <w:rFonts w:ascii="Times New Roman" w:hAnsi="Times New Roman" w:cs="Times New Roman"/>
          <w:sz w:val="28"/>
          <w:szCs w:val="28"/>
        </w:rPr>
        <w:br/>
      </w:r>
      <w:r w:rsidRPr="001A6B6C">
        <w:rPr>
          <w:rFonts w:ascii="Times New Roman" w:hAnsi="Times New Roman" w:cs="Times New Roman"/>
          <w:sz w:val="28"/>
          <w:szCs w:val="28"/>
        </w:rPr>
        <w:t xml:space="preserve">(М-Тест). </w:t>
      </w:r>
    </w:p>
    <w:bookmarkEnd w:id="9"/>
    <w:p w14:paraId="1F44011B" w14:textId="79651A4B" w:rsidR="0098357C" w:rsidRPr="006B2C35" w:rsidRDefault="0098357C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35">
        <w:rPr>
          <w:rFonts w:ascii="Times New Roman" w:hAnsi="Times New Roman" w:cs="Times New Roman"/>
          <w:sz w:val="28"/>
          <w:szCs w:val="28"/>
        </w:rPr>
        <w:t xml:space="preserve">Очікувані наслідки дії запропонованого </w:t>
      </w:r>
      <w:proofErr w:type="spellStart"/>
      <w:r w:rsidR="00C33CFF">
        <w:rPr>
          <w:rFonts w:ascii="Times New Roman" w:hAnsi="Times New Roman"/>
          <w:sz w:val="28"/>
          <w:szCs w:val="28"/>
        </w:rPr>
        <w:t>проєкту</w:t>
      </w:r>
      <w:proofErr w:type="spellEnd"/>
      <w:r w:rsidR="00C33CFF">
        <w:rPr>
          <w:rFonts w:ascii="Times New Roman" w:hAnsi="Times New Roman"/>
          <w:sz w:val="28"/>
          <w:szCs w:val="28"/>
        </w:rPr>
        <w:t xml:space="preserve"> наказу </w:t>
      </w:r>
      <w:r w:rsidRPr="006B2C35">
        <w:rPr>
          <w:rFonts w:ascii="Times New Roman" w:hAnsi="Times New Roman" w:cs="Times New Roman"/>
          <w:sz w:val="28"/>
          <w:szCs w:val="28"/>
        </w:rPr>
        <w:t>не передбачають нанесення шкоди суб’єктам господарювання.</w:t>
      </w:r>
    </w:p>
    <w:p w14:paraId="6343667D" w14:textId="77777777" w:rsidR="00C33CFF" w:rsidRDefault="00C33CFF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EB33F7" w14:textId="6E3B331B" w:rsidR="0098357C" w:rsidRPr="006B2C35" w:rsidRDefault="00C33CFF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r w:rsidR="0098357C" w:rsidRPr="006B2C35">
        <w:rPr>
          <w:rFonts w:ascii="Times New Roman" w:hAnsi="Times New Roman" w:cs="Times New Roman"/>
          <w:sz w:val="28"/>
          <w:szCs w:val="28"/>
        </w:rPr>
        <w:t>відповідає принципам державної регуляторної політики.</w:t>
      </w:r>
    </w:p>
    <w:p w14:paraId="00E46CA1" w14:textId="3CC00B1F" w:rsidR="00E77854" w:rsidRPr="006B2C35" w:rsidRDefault="003C53D5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35">
        <w:rPr>
          <w:rFonts w:ascii="Times New Roman" w:hAnsi="Times New Roman" w:cs="Times New Roman"/>
          <w:sz w:val="28"/>
          <w:szCs w:val="28"/>
        </w:rPr>
        <w:t xml:space="preserve">Витрат </w:t>
      </w:r>
      <w:r w:rsidR="00E77854" w:rsidRPr="006B2C35">
        <w:rPr>
          <w:rFonts w:ascii="Times New Roman" w:hAnsi="Times New Roman" w:cs="Times New Roman"/>
          <w:sz w:val="28"/>
          <w:szCs w:val="28"/>
        </w:rPr>
        <w:t>Міністерства внутрішніх справ України, Національної поліції України не передбача</w:t>
      </w:r>
      <w:r w:rsidR="00BC2444">
        <w:rPr>
          <w:rFonts w:ascii="Times New Roman" w:hAnsi="Times New Roman" w:cs="Times New Roman"/>
          <w:sz w:val="28"/>
          <w:szCs w:val="28"/>
        </w:rPr>
        <w:t>є</w:t>
      </w:r>
      <w:r w:rsidR="00E77854" w:rsidRPr="006B2C35">
        <w:rPr>
          <w:rFonts w:ascii="Times New Roman" w:hAnsi="Times New Roman" w:cs="Times New Roman"/>
          <w:sz w:val="28"/>
          <w:szCs w:val="28"/>
        </w:rPr>
        <w:t>ться.</w:t>
      </w:r>
    </w:p>
    <w:p w14:paraId="70354552" w14:textId="089C36E5" w:rsidR="0098357C" w:rsidRPr="006B2C35" w:rsidRDefault="0098357C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35">
        <w:rPr>
          <w:rFonts w:ascii="Times New Roman" w:hAnsi="Times New Roman" w:cs="Times New Roman"/>
          <w:sz w:val="28"/>
          <w:szCs w:val="28"/>
        </w:rPr>
        <w:t>Державн</w:t>
      </w:r>
      <w:r w:rsidR="00B616B0" w:rsidRPr="006B2C35">
        <w:rPr>
          <w:rFonts w:ascii="Times New Roman" w:hAnsi="Times New Roman" w:cs="Times New Roman"/>
          <w:sz w:val="28"/>
          <w:szCs w:val="28"/>
        </w:rPr>
        <w:t>е регулювання</w:t>
      </w:r>
      <w:r w:rsidR="00A965B2" w:rsidRPr="006B2C35">
        <w:rPr>
          <w:rFonts w:ascii="Times New Roman" w:hAnsi="Times New Roman" w:cs="Times New Roman"/>
          <w:sz w:val="28"/>
          <w:szCs w:val="28"/>
        </w:rPr>
        <w:t xml:space="preserve">, запропоноване </w:t>
      </w:r>
      <w:proofErr w:type="spellStart"/>
      <w:r w:rsidR="00766CFC" w:rsidRPr="006B2C35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="00766CFC" w:rsidRPr="006B2C35">
        <w:rPr>
          <w:rFonts w:ascii="Times New Roman" w:eastAsia="Times New Roman" w:hAnsi="Times New Roman" w:cs="Times New Roman"/>
          <w:sz w:val="28"/>
          <w:szCs w:val="28"/>
        </w:rPr>
        <w:t xml:space="preserve"> наказу</w:t>
      </w:r>
      <w:r w:rsidR="00BB539C" w:rsidRPr="006B2C35">
        <w:rPr>
          <w:rFonts w:ascii="Times New Roman" w:hAnsi="Times New Roman" w:cs="Times New Roman"/>
          <w:sz w:val="28"/>
          <w:szCs w:val="28"/>
        </w:rPr>
        <w:t xml:space="preserve">, не передбачає утворення нового державного органу або нових структурних </w:t>
      </w:r>
      <w:r w:rsidR="00F551C4" w:rsidRPr="006B2C35">
        <w:rPr>
          <w:rFonts w:ascii="Times New Roman" w:hAnsi="Times New Roman" w:cs="Times New Roman"/>
          <w:sz w:val="28"/>
          <w:szCs w:val="28"/>
        </w:rPr>
        <w:t>підрозділів діючих органів</w:t>
      </w:r>
      <w:r w:rsidRPr="006B2C35">
        <w:rPr>
          <w:rFonts w:ascii="Times New Roman" w:hAnsi="Times New Roman" w:cs="Times New Roman"/>
          <w:sz w:val="28"/>
          <w:szCs w:val="28"/>
        </w:rPr>
        <w:t>.</w:t>
      </w:r>
    </w:p>
    <w:p w14:paraId="1C3A407E" w14:textId="77777777" w:rsidR="00763548" w:rsidRPr="00EC6FE9" w:rsidRDefault="00763548" w:rsidP="009F3B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0DB6E" w14:textId="053FABE3" w:rsidR="0006448A" w:rsidRPr="00EC6FE9" w:rsidRDefault="0006448A" w:rsidP="009F3B2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0506A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. Обґрунтування</w:t>
      </w:r>
      <w:r w:rsidR="00144298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запропонованого строку дії регуляторного акта</w:t>
      </w:r>
    </w:p>
    <w:p w14:paraId="5AEECD45" w14:textId="2E84F799" w:rsidR="0006448A" w:rsidRPr="006B2C35" w:rsidRDefault="0006448A" w:rsidP="009F3B25">
      <w:pPr>
        <w:spacing w:after="0" w:line="240" w:lineRule="auto"/>
        <w:ind w:firstLine="567"/>
        <w:rPr>
          <w:rStyle w:val="rvts15"/>
          <w:rFonts w:ascii="Times New Roman" w:hAnsi="Times New Roman" w:cs="Times New Roman"/>
          <w:sz w:val="28"/>
          <w:szCs w:val="28"/>
        </w:rPr>
      </w:pPr>
      <w:r w:rsidRPr="006B2C35">
        <w:rPr>
          <w:rStyle w:val="rvts15"/>
          <w:rFonts w:ascii="Times New Roman" w:hAnsi="Times New Roman" w:cs="Times New Roman"/>
          <w:sz w:val="28"/>
          <w:szCs w:val="28"/>
        </w:rPr>
        <w:t xml:space="preserve">Строк дії </w:t>
      </w:r>
      <w:proofErr w:type="spellStart"/>
      <w:r w:rsidR="00184C1C">
        <w:rPr>
          <w:rFonts w:ascii="Times New Roman" w:hAnsi="Times New Roman"/>
          <w:sz w:val="28"/>
          <w:szCs w:val="28"/>
        </w:rPr>
        <w:t>проєкту</w:t>
      </w:r>
      <w:proofErr w:type="spellEnd"/>
      <w:r w:rsidR="00184C1C">
        <w:rPr>
          <w:rFonts w:ascii="Times New Roman" w:hAnsi="Times New Roman"/>
          <w:sz w:val="28"/>
          <w:szCs w:val="28"/>
        </w:rPr>
        <w:t xml:space="preserve"> наказу </w:t>
      </w:r>
      <w:r w:rsidRPr="006B2C35">
        <w:rPr>
          <w:rStyle w:val="rvts15"/>
          <w:rFonts w:ascii="Times New Roman" w:hAnsi="Times New Roman" w:cs="Times New Roman"/>
          <w:sz w:val="28"/>
          <w:szCs w:val="28"/>
        </w:rPr>
        <w:t>необмежений у часі.</w:t>
      </w:r>
    </w:p>
    <w:p w14:paraId="3D238320" w14:textId="4468DF5D" w:rsidR="001F606D" w:rsidRPr="006B2C35" w:rsidRDefault="001F606D" w:rsidP="009F3B25">
      <w:pPr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sz w:val="28"/>
          <w:szCs w:val="28"/>
        </w:rPr>
      </w:pPr>
      <w:r w:rsidRPr="006B2C35">
        <w:rPr>
          <w:rStyle w:val="rvts15"/>
          <w:rFonts w:ascii="Times New Roman" w:hAnsi="Times New Roman" w:cs="Times New Roman"/>
          <w:sz w:val="28"/>
          <w:szCs w:val="28"/>
        </w:rPr>
        <w:t>З</w:t>
      </w:r>
      <w:r w:rsidR="00A60122" w:rsidRPr="006B2C35">
        <w:rPr>
          <w:rStyle w:val="rvts15"/>
          <w:rFonts w:ascii="Times New Roman" w:hAnsi="Times New Roman" w:cs="Times New Roman"/>
          <w:sz w:val="28"/>
          <w:szCs w:val="28"/>
        </w:rPr>
        <w:t xml:space="preserve">міна строку дії </w:t>
      </w:r>
      <w:proofErr w:type="spellStart"/>
      <w:r w:rsidR="00184C1C">
        <w:rPr>
          <w:rFonts w:ascii="Times New Roman" w:hAnsi="Times New Roman"/>
          <w:sz w:val="28"/>
          <w:szCs w:val="28"/>
        </w:rPr>
        <w:t>проєкту</w:t>
      </w:r>
      <w:proofErr w:type="spellEnd"/>
      <w:r w:rsidR="00184C1C">
        <w:rPr>
          <w:rFonts w:ascii="Times New Roman" w:hAnsi="Times New Roman"/>
          <w:sz w:val="28"/>
          <w:szCs w:val="28"/>
        </w:rPr>
        <w:t xml:space="preserve"> наказу </w:t>
      </w:r>
      <w:r w:rsidR="00A60122" w:rsidRPr="006B2C35">
        <w:rPr>
          <w:rStyle w:val="rvts15"/>
          <w:rFonts w:ascii="Times New Roman" w:hAnsi="Times New Roman" w:cs="Times New Roman"/>
          <w:sz w:val="28"/>
          <w:szCs w:val="28"/>
        </w:rPr>
        <w:t xml:space="preserve">можлива в разі зміни правових норм, на яких </w:t>
      </w:r>
      <w:r w:rsidR="001D1897">
        <w:rPr>
          <w:rStyle w:val="rvts15"/>
          <w:rFonts w:ascii="Times New Roman" w:hAnsi="Times New Roman" w:cs="Times New Roman"/>
          <w:sz w:val="28"/>
          <w:szCs w:val="28"/>
        </w:rPr>
        <w:t xml:space="preserve">він </w:t>
      </w:r>
      <w:r w:rsidR="00A60122" w:rsidRPr="006B2C35">
        <w:rPr>
          <w:rStyle w:val="rvts15"/>
          <w:rFonts w:ascii="Times New Roman" w:hAnsi="Times New Roman" w:cs="Times New Roman"/>
          <w:sz w:val="28"/>
          <w:szCs w:val="28"/>
        </w:rPr>
        <w:t>базується</w:t>
      </w:r>
      <w:r w:rsidR="001D1897">
        <w:rPr>
          <w:rStyle w:val="rvts15"/>
          <w:rFonts w:ascii="Times New Roman" w:hAnsi="Times New Roman" w:cs="Times New Roman"/>
          <w:sz w:val="28"/>
          <w:szCs w:val="28"/>
        </w:rPr>
        <w:t>.</w:t>
      </w:r>
    </w:p>
    <w:p w14:paraId="10DAA7BA" w14:textId="79272CAF" w:rsidR="00763548" w:rsidRPr="006B2C35" w:rsidRDefault="00353233" w:rsidP="009F3B25">
      <w:pPr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sz w:val="28"/>
          <w:szCs w:val="28"/>
        </w:rPr>
      </w:pPr>
      <w:r w:rsidRPr="006B2C35">
        <w:rPr>
          <w:rStyle w:val="rvts15"/>
          <w:rFonts w:ascii="Times New Roman" w:hAnsi="Times New Roman" w:cs="Times New Roman"/>
          <w:sz w:val="28"/>
          <w:szCs w:val="28"/>
        </w:rPr>
        <w:t>Строк набрання чинності</w:t>
      </w:r>
      <w:r w:rsidR="008941D0" w:rsidRPr="006B2C35">
        <w:rPr>
          <w:rStyle w:val="rvts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63">
        <w:rPr>
          <w:rFonts w:ascii="Times New Roman" w:hAnsi="Times New Roman"/>
          <w:sz w:val="28"/>
          <w:szCs w:val="28"/>
        </w:rPr>
        <w:t>проєкту</w:t>
      </w:r>
      <w:proofErr w:type="spellEnd"/>
      <w:r w:rsidR="00B83E63">
        <w:rPr>
          <w:rFonts w:ascii="Times New Roman" w:hAnsi="Times New Roman"/>
          <w:sz w:val="28"/>
          <w:szCs w:val="28"/>
        </w:rPr>
        <w:t xml:space="preserve"> наказу </w:t>
      </w:r>
      <w:r w:rsidRPr="006B2C35">
        <w:rPr>
          <w:rStyle w:val="rvts15"/>
          <w:rFonts w:ascii="Times New Roman" w:hAnsi="Times New Roman" w:cs="Times New Roman"/>
          <w:sz w:val="28"/>
          <w:szCs w:val="28"/>
        </w:rPr>
        <w:t>– відповідно до законодавства України після його офіційного опублікування.</w:t>
      </w:r>
    </w:p>
    <w:p w14:paraId="27C121B1" w14:textId="77777777" w:rsidR="00E85E59" w:rsidRPr="00EC6FE9" w:rsidRDefault="00E85E59" w:rsidP="009F3B25">
      <w:pPr>
        <w:spacing w:after="0" w:line="240" w:lineRule="auto"/>
        <w:ind w:firstLine="567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47BEF" w14:textId="76B1CEC5" w:rsidR="0006448A" w:rsidRPr="00EC6FE9" w:rsidRDefault="00CC74C1" w:rsidP="009F3B2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VIІ</w:t>
      </w:r>
      <w:r w:rsidR="000506A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. Визначення</w:t>
      </w:r>
      <w:r w:rsidR="00236FC3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показників</w:t>
      </w:r>
      <w:r w:rsidR="00236FC3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езультативності</w:t>
      </w:r>
      <w:r w:rsidR="00236FC3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дії регуляторного акта</w:t>
      </w:r>
    </w:p>
    <w:p w14:paraId="140D194C" w14:textId="3C01F2C6" w:rsidR="00E67C5B" w:rsidRPr="00DE2530" w:rsidRDefault="0013550F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  <w:r w:rsidRPr="00DE2530">
        <w:rPr>
          <w:rFonts w:ascii="Times New Roman" w:eastAsiaTheme="minorEastAsia" w:hAnsi="Times New Roman"/>
          <w:color w:val="auto"/>
          <w:sz w:val="28"/>
          <w:szCs w:val="28"/>
        </w:rPr>
        <w:t>Виданн</w:t>
      </w:r>
      <w:r w:rsidR="00D83BBC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я </w:t>
      </w:r>
      <w:proofErr w:type="spellStart"/>
      <w:r w:rsidR="00BB0401">
        <w:rPr>
          <w:rFonts w:ascii="Times New Roman" w:eastAsiaTheme="minorEastAsia" w:hAnsi="Times New Roman"/>
          <w:color w:val="auto"/>
          <w:sz w:val="28"/>
          <w:szCs w:val="28"/>
        </w:rPr>
        <w:t>проєкту</w:t>
      </w:r>
      <w:proofErr w:type="spellEnd"/>
      <w:r w:rsidR="00BB0401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D83BBC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наказу </w:t>
      </w:r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Міністерства внутрішніх справ України, Міністерства економіки України, Міністерства фінансів України «Про визнання таким, </w:t>
      </w:r>
      <w:bookmarkStart w:id="10" w:name="_Hlk149050698"/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що втратив чинність, наказу </w:t>
      </w:r>
      <w:bookmarkEnd w:id="10"/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>Міністерства внутрішніх справ України, Міністерства економічного розвитку і торгівлі України та Міністерства фінансів України від 10 жовтня 2013 року</w:t>
      </w:r>
      <w:r w:rsidR="00986429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bookmarkStart w:id="11" w:name="_Hlk149050714"/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>№</w:t>
      </w:r>
      <w:r w:rsidR="00986429">
        <w:rPr>
          <w:rFonts w:ascii="Times New Roman" w:eastAsiaTheme="minorEastAsia" w:hAnsi="Times New Roman"/>
          <w:color w:val="auto"/>
          <w:sz w:val="28"/>
          <w:szCs w:val="28"/>
        </w:rPr>
        <w:t> </w:t>
      </w:r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>967/1218/869</w:t>
      </w:r>
      <w:bookmarkEnd w:id="11"/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» </w:t>
      </w:r>
      <w:r w:rsidR="00D83BBC" w:rsidRPr="00DE2530">
        <w:rPr>
          <w:rFonts w:ascii="Times New Roman" w:eastAsiaTheme="minorEastAsia" w:hAnsi="Times New Roman"/>
          <w:color w:val="auto"/>
          <w:sz w:val="28"/>
          <w:szCs w:val="28"/>
        </w:rPr>
        <w:t>д</w:t>
      </w:r>
      <w:r w:rsidR="001B463F">
        <w:rPr>
          <w:rFonts w:ascii="Times New Roman" w:eastAsiaTheme="minorEastAsia" w:hAnsi="Times New Roman"/>
          <w:color w:val="auto"/>
          <w:sz w:val="28"/>
          <w:szCs w:val="28"/>
        </w:rPr>
        <w:t>асть змогу</w:t>
      </w:r>
      <w:r w:rsidR="00D83BBC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E67C5B" w:rsidRPr="00DE2530">
        <w:rPr>
          <w:rFonts w:ascii="Times New Roman" w:eastAsiaTheme="minorEastAsia" w:hAnsi="Times New Roman"/>
          <w:color w:val="auto"/>
          <w:sz w:val="28"/>
          <w:szCs w:val="28"/>
        </w:rPr>
        <w:t>привести підзаконний акт нижчої юридичної сили у відповідність до вимог Порядку.</w:t>
      </w:r>
    </w:p>
    <w:p w14:paraId="553DAF6D" w14:textId="307CEC37" w:rsidR="00D22694" w:rsidRPr="00650295" w:rsidRDefault="002C4519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eastAsiaTheme="minorEastAsia" w:hAnsi="Times New Roman"/>
          <w:color w:val="auto"/>
          <w:sz w:val="28"/>
          <w:szCs w:val="28"/>
        </w:rPr>
      </w:pPr>
      <w:r>
        <w:rPr>
          <w:rFonts w:ascii="Times New Roman" w:eastAsiaTheme="minorEastAsia" w:hAnsi="Times New Roman"/>
          <w:color w:val="auto"/>
          <w:sz w:val="28"/>
          <w:szCs w:val="28"/>
        </w:rPr>
        <w:t xml:space="preserve">Видання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наказу </w:t>
      </w:r>
      <w:r w:rsidR="00A4298E">
        <w:rPr>
          <w:rFonts w:ascii="Times New Roman" w:eastAsiaTheme="minorEastAsia" w:hAnsi="Times New Roman"/>
          <w:color w:val="auto"/>
          <w:sz w:val="28"/>
          <w:szCs w:val="28"/>
        </w:rPr>
        <w:t xml:space="preserve">матиме незначний </w:t>
      </w:r>
      <w:r w:rsidR="00D22694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вплив на </w:t>
      </w:r>
      <w:r w:rsidR="00A4298E">
        <w:rPr>
          <w:rFonts w:ascii="Times New Roman" w:eastAsiaTheme="minorEastAsia" w:hAnsi="Times New Roman"/>
          <w:color w:val="auto"/>
          <w:sz w:val="28"/>
          <w:szCs w:val="28"/>
        </w:rPr>
        <w:t xml:space="preserve">зміну </w:t>
      </w:r>
      <w:r w:rsidR="00D22694" w:rsidRPr="00DE2530">
        <w:rPr>
          <w:rFonts w:ascii="Times New Roman" w:eastAsiaTheme="minorEastAsia" w:hAnsi="Times New Roman"/>
          <w:color w:val="auto"/>
          <w:sz w:val="28"/>
          <w:szCs w:val="28"/>
        </w:rPr>
        <w:t>розмір</w:t>
      </w:r>
      <w:r w:rsidR="00A4298E">
        <w:rPr>
          <w:rFonts w:ascii="Times New Roman" w:eastAsiaTheme="minorEastAsia" w:hAnsi="Times New Roman"/>
          <w:color w:val="auto"/>
          <w:sz w:val="28"/>
          <w:szCs w:val="28"/>
        </w:rPr>
        <w:t>у</w:t>
      </w:r>
      <w:r w:rsidR="00D22694" w:rsidRPr="00DE2530">
        <w:rPr>
          <w:rFonts w:ascii="Times New Roman" w:eastAsiaTheme="minorEastAsia" w:hAnsi="Times New Roman"/>
          <w:color w:val="auto"/>
          <w:sz w:val="28"/>
          <w:szCs w:val="28"/>
        </w:rPr>
        <w:t xml:space="preserve"> надходжень до </w:t>
      </w:r>
      <w:r w:rsidR="00D22694" w:rsidRPr="006B2C35">
        <w:rPr>
          <w:rFonts w:ascii="Times New Roman" w:eastAsiaTheme="minorEastAsia" w:hAnsi="Times New Roman"/>
          <w:color w:val="auto"/>
          <w:sz w:val="28"/>
          <w:szCs w:val="28"/>
        </w:rPr>
        <w:t xml:space="preserve">державного та місцевих </w:t>
      </w:r>
      <w:r w:rsidR="005D3CAF" w:rsidRPr="006B2C35">
        <w:rPr>
          <w:rFonts w:ascii="Times New Roman" w:eastAsiaTheme="minorEastAsia" w:hAnsi="Times New Roman"/>
          <w:color w:val="auto"/>
          <w:sz w:val="28"/>
          <w:szCs w:val="28"/>
        </w:rPr>
        <w:t xml:space="preserve">бюджетів і </w:t>
      </w:r>
      <w:r w:rsidR="00FE7A6B" w:rsidRPr="006B2C35">
        <w:rPr>
          <w:rFonts w:ascii="Times New Roman" w:eastAsiaTheme="minorEastAsia" w:hAnsi="Times New Roman"/>
          <w:color w:val="auto"/>
          <w:sz w:val="28"/>
          <w:szCs w:val="28"/>
        </w:rPr>
        <w:t>державних цільових фондів</w:t>
      </w:r>
      <w:r w:rsidR="00A4298E">
        <w:rPr>
          <w:rFonts w:ascii="Times New Roman" w:eastAsiaTheme="minorEastAsia" w:hAnsi="Times New Roman"/>
          <w:color w:val="auto"/>
          <w:sz w:val="28"/>
          <w:szCs w:val="28"/>
        </w:rPr>
        <w:t>,</w:t>
      </w:r>
      <w:r w:rsidR="00FE7A6B" w:rsidRPr="00650295">
        <w:rPr>
          <w:rFonts w:ascii="Times New Roman" w:eastAsiaTheme="minorEastAsia" w:hAnsi="Times New Roman"/>
          <w:color w:val="auto"/>
          <w:sz w:val="28"/>
          <w:szCs w:val="28"/>
        </w:rPr>
        <w:t xml:space="preserve"> додаткових </w:t>
      </w:r>
      <w:r w:rsidR="00A31A4D" w:rsidRPr="00650295">
        <w:rPr>
          <w:rFonts w:ascii="Times New Roman" w:eastAsiaTheme="minorEastAsia" w:hAnsi="Times New Roman"/>
          <w:color w:val="auto"/>
          <w:sz w:val="28"/>
          <w:szCs w:val="28"/>
        </w:rPr>
        <w:t>надходжень до загального фонду державного та місцевих бюджетів.</w:t>
      </w:r>
    </w:p>
    <w:p w14:paraId="50F4F3EE" w14:textId="532922AE" w:rsidR="0006448A" w:rsidRPr="00650295" w:rsidRDefault="0006448A" w:rsidP="009F3B25">
      <w:pPr>
        <w:spacing w:after="0" w:line="240" w:lineRule="auto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DE2530">
        <w:rPr>
          <w:rFonts w:ascii="Times New Roman" w:hAnsi="Times New Roman" w:cs="Times New Roman"/>
          <w:sz w:val="28"/>
          <w:szCs w:val="28"/>
        </w:rPr>
        <w:t>Дія</w:t>
      </w:r>
      <w:r w:rsidR="00160B8B" w:rsidRPr="00DE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61A">
        <w:rPr>
          <w:rFonts w:ascii="Times New Roman" w:hAnsi="Times New Roman"/>
          <w:sz w:val="28"/>
          <w:szCs w:val="28"/>
        </w:rPr>
        <w:t>проєкту</w:t>
      </w:r>
      <w:proofErr w:type="spellEnd"/>
      <w:r w:rsidR="00E1661A">
        <w:rPr>
          <w:rFonts w:ascii="Times New Roman" w:hAnsi="Times New Roman"/>
          <w:sz w:val="28"/>
          <w:szCs w:val="28"/>
        </w:rPr>
        <w:t xml:space="preserve"> наказу </w:t>
      </w:r>
      <w:r w:rsidR="0008392A" w:rsidRPr="00DE2530">
        <w:rPr>
          <w:rFonts w:ascii="Times New Roman" w:hAnsi="Times New Roman" w:cs="Times New Roman"/>
          <w:sz w:val="28"/>
          <w:szCs w:val="28"/>
        </w:rPr>
        <w:t xml:space="preserve">стосується </w:t>
      </w:r>
      <w:r w:rsidR="00564540" w:rsidRPr="00DE2530">
        <w:rPr>
          <w:rFonts w:ascii="Times New Roman" w:hAnsi="Times New Roman" w:cs="Times New Roman"/>
          <w:sz w:val="28"/>
          <w:szCs w:val="28"/>
        </w:rPr>
        <w:t>територіальн</w:t>
      </w:r>
      <w:r w:rsidR="0008392A" w:rsidRPr="00DE2530">
        <w:rPr>
          <w:rFonts w:ascii="Times New Roman" w:hAnsi="Times New Roman" w:cs="Times New Roman"/>
          <w:sz w:val="28"/>
          <w:szCs w:val="28"/>
        </w:rPr>
        <w:t>их</w:t>
      </w:r>
      <w:r w:rsidR="00564540" w:rsidRPr="00DE2530">
        <w:rPr>
          <w:rFonts w:ascii="Times New Roman" w:hAnsi="Times New Roman" w:cs="Times New Roman"/>
          <w:sz w:val="28"/>
          <w:szCs w:val="28"/>
        </w:rPr>
        <w:t xml:space="preserve"> (у тому числі</w:t>
      </w:r>
      <w:r w:rsidR="00564540" w:rsidRPr="00650295">
        <w:rPr>
          <w:rFonts w:ascii="Times New Roman" w:hAnsi="Times New Roman" w:cs="Times New Roman"/>
          <w:sz w:val="28"/>
          <w:szCs w:val="28"/>
        </w:rPr>
        <w:t xml:space="preserve"> міжрегіональн</w:t>
      </w:r>
      <w:r w:rsidR="0008392A">
        <w:rPr>
          <w:rFonts w:ascii="Times New Roman" w:hAnsi="Times New Roman" w:cs="Times New Roman"/>
          <w:sz w:val="28"/>
          <w:szCs w:val="28"/>
        </w:rPr>
        <w:t>их</w:t>
      </w:r>
      <w:r w:rsidR="00564540" w:rsidRPr="00650295">
        <w:rPr>
          <w:rFonts w:ascii="Times New Roman" w:hAnsi="Times New Roman" w:cs="Times New Roman"/>
          <w:sz w:val="28"/>
          <w:szCs w:val="28"/>
        </w:rPr>
        <w:t>) орган</w:t>
      </w:r>
      <w:r w:rsidR="0008392A">
        <w:rPr>
          <w:rFonts w:ascii="Times New Roman" w:hAnsi="Times New Roman" w:cs="Times New Roman"/>
          <w:sz w:val="28"/>
          <w:szCs w:val="28"/>
        </w:rPr>
        <w:t>ів</w:t>
      </w:r>
      <w:r w:rsidR="00564540" w:rsidRPr="00650295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України, водіїв, власників (співвласників) тимчасово затриманих транспортних засобів</w:t>
      </w:r>
      <w:r w:rsidR="00D30949" w:rsidRPr="00650295">
        <w:rPr>
          <w:rFonts w:ascii="Times New Roman" w:hAnsi="Times New Roman" w:cs="Times New Roman"/>
          <w:sz w:val="28"/>
          <w:szCs w:val="28"/>
        </w:rPr>
        <w:t>,</w:t>
      </w:r>
      <w:r w:rsidR="00564540" w:rsidRPr="00650295">
        <w:rPr>
          <w:rFonts w:ascii="Times New Roman" w:hAnsi="Times New Roman" w:cs="Times New Roman"/>
          <w:sz w:val="28"/>
          <w:szCs w:val="28"/>
        </w:rPr>
        <w:t xml:space="preserve"> </w:t>
      </w:r>
      <w:r w:rsidR="0077181E" w:rsidRPr="00650295">
        <w:rPr>
          <w:rFonts w:ascii="Times New Roman" w:hAnsi="Times New Roman" w:cs="Times New Roman"/>
          <w:sz w:val="28"/>
          <w:szCs w:val="28"/>
        </w:rPr>
        <w:t>суб’єктів господарювання (підприємств, установ та організацій), які провадять діяльність</w:t>
      </w:r>
      <w:r w:rsidR="00A2295E">
        <w:rPr>
          <w:rFonts w:ascii="Times New Roman" w:hAnsi="Times New Roman" w:cs="Times New Roman"/>
          <w:sz w:val="28"/>
          <w:szCs w:val="28"/>
        </w:rPr>
        <w:t>,</w:t>
      </w:r>
      <w:r w:rsidR="0077181E" w:rsidRPr="00650295">
        <w:rPr>
          <w:rFonts w:ascii="Times New Roman" w:hAnsi="Times New Roman" w:cs="Times New Roman"/>
          <w:sz w:val="28"/>
          <w:szCs w:val="28"/>
        </w:rPr>
        <w:t xml:space="preserve"> пов’язану з транспортуванням транспортних засобів, і з якими територіальним (у тому числі міжрегіональним) органом Національної поліції</w:t>
      </w:r>
      <w:r w:rsidR="00A2295E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77181E" w:rsidRPr="00650295">
        <w:rPr>
          <w:rFonts w:ascii="Times New Roman" w:hAnsi="Times New Roman" w:cs="Times New Roman"/>
          <w:sz w:val="28"/>
          <w:szCs w:val="28"/>
        </w:rPr>
        <w:t xml:space="preserve"> укладен</w:t>
      </w:r>
      <w:r w:rsidR="00B53555">
        <w:rPr>
          <w:rFonts w:ascii="Times New Roman" w:hAnsi="Times New Roman" w:cs="Times New Roman"/>
          <w:sz w:val="28"/>
          <w:szCs w:val="28"/>
        </w:rPr>
        <w:t>о</w:t>
      </w:r>
      <w:r w:rsidR="0077181E" w:rsidRPr="00650295">
        <w:rPr>
          <w:rFonts w:ascii="Times New Roman" w:hAnsi="Times New Roman" w:cs="Times New Roman"/>
          <w:sz w:val="28"/>
          <w:szCs w:val="28"/>
        </w:rPr>
        <w:t xml:space="preserve"> в установленому порядку договори</w:t>
      </w:r>
      <w:r w:rsidRPr="00650295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14:paraId="1E622BCA" w14:textId="162BC7FF" w:rsidR="00C00196" w:rsidRPr="00355CCC" w:rsidRDefault="0082042F" w:rsidP="009F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49032893"/>
      <w:r w:rsidRPr="00650295">
        <w:rPr>
          <w:rFonts w:ascii="Times New Roman" w:hAnsi="Times New Roman" w:cs="Times New Roman"/>
          <w:sz w:val="28"/>
          <w:szCs w:val="28"/>
        </w:rPr>
        <w:t>Розмір</w:t>
      </w:r>
      <w:r w:rsidR="003403FA">
        <w:rPr>
          <w:rFonts w:ascii="Times New Roman" w:hAnsi="Times New Roman" w:cs="Times New Roman"/>
          <w:sz w:val="28"/>
          <w:szCs w:val="28"/>
        </w:rPr>
        <w:t>у</w:t>
      </w:r>
      <w:r w:rsidRPr="00650295">
        <w:rPr>
          <w:rFonts w:ascii="Times New Roman" w:hAnsi="Times New Roman" w:cs="Times New Roman"/>
          <w:sz w:val="28"/>
          <w:szCs w:val="28"/>
        </w:rPr>
        <w:t xml:space="preserve"> </w:t>
      </w:r>
      <w:r w:rsidRPr="00355CCC">
        <w:rPr>
          <w:rFonts w:ascii="Times New Roman" w:hAnsi="Times New Roman" w:cs="Times New Roman"/>
          <w:sz w:val="28"/>
          <w:szCs w:val="28"/>
        </w:rPr>
        <w:t>коштів і час</w:t>
      </w:r>
      <w:r w:rsidR="003403FA">
        <w:rPr>
          <w:rFonts w:ascii="Times New Roman" w:hAnsi="Times New Roman" w:cs="Times New Roman"/>
          <w:sz w:val="28"/>
          <w:szCs w:val="28"/>
        </w:rPr>
        <w:t>у</w:t>
      </w:r>
      <w:r w:rsidRPr="00355CCC">
        <w:rPr>
          <w:rFonts w:ascii="Times New Roman" w:hAnsi="Times New Roman" w:cs="Times New Roman"/>
          <w:sz w:val="28"/>
          <w:szCs w:val="28"/>
        </w:rPr>
        <w:t>, що витрачатим</w:t>
      </w:r>
      <w:r w:rsidR="001C0171">
        <w:rPr>
          <w:rFonts w:ascii="Times New Roman" w:hAnsi="Times New Roman" w:cs="Times New Roman"/>
          <w:sz w:val="28"/>
          <w:szCs w:val="28"/>
        </w:rPr>
        <w:t>у</w:t>
      </w:r>
      <w:r w:rsidRPr="00355CCC">
        <w:rPr>
          <w:rFonts w:ascii="Times New Roman" w:hAnsi="Times New Roman" w:cs="Times New Roman"/>
          <w:sz w:val="28"/>
          <w:szCs w:val="28"/>
        </w:rPr>
        <w:t xml:space="preserve">ться </w:t>
      </w:r>
      <w:r w:rsidR="00AA68A8" w:rsidRPr="00355CCC">
        <w:rPr>
          <w:rFonts w:ascii="Times New Roman" w:hAnsi="Times New Roman" w:cs="Times New Roman"/>
          <w:sz w:val="28"/>
          <w:szCs w:val="28"/>
        </w:rPr>
        <w:t xml:space="preserve">об’єктами державної форми власності та сфер державного регулювання, </w:t>
      </w:r>
      <w:r w:rsidR="00BD33EB" w:rsidRPr="00355CCC">
        <w:rPr>
          <w:rFonts w:ascii="Times New Roman" w:hAnsi="Times New Roman" w:cs="Times New Roman"/>
          <w:sz w:val="28"/>
          <w:szCs w:val="28"/>
        </w:rPr>
        <w:t>пов’язаними</w:t>
      </w:r>
      <w:r w:rsidR="00AA68A8" w:rsidRPr="00355CCC">
        <w:rPr>
          <w:rFonts w:ascii="Times New Roman" w:hAnsi="Times New Roman" w:cs="Times New Roman"/>
          <w:sz w:val="28"/>
          <w:szCs w:val="28"/>
        </w:rPr>
        <w:t xml:space="preserve"> з виконанням вимог</w:t>
      </w:r>
      <w:r w:rsidR="00490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0C9">
        <w:rPr>
          <w:rFonts w:ascii="Times New Roman" w:hAnsi="Times New Roman"/>
          <w:sz w:val="28"/>
          <w:szCs w:val="28"/>
        </w:rPr>
        <w:t>проєкту</w:t>
      </w:r>
      <w:proofErr w:type="spellEnd"/>
      <w:r w:rsidR="004900C9">
        <w:rPr>
          <w:rFonts w:ascii="Times New Roman" w:hAnsi="Times New Roman"/>
          <w:sz w:val="28"/>
          <w:szCs w:val="28"/>
        </w:rPr>
        <w:t xml:space="preserve"> наказу</w:t>
      </w:r>
      <w:r w:rsidR="00AA68A8" w:rsidRPr="00355CCC">
        <w:rPr>
          <w:rFonts w:ascii="Times New Roman" w:hAnsi="Times New Roman" w:cs="Times New Roman"/>
          <w:sz w:val="28"/>
          <w:szCs w:val="28"/>
        </w:rPr>
        <w:t>, не передбачено.</w:t>
      </w:r>
      <w:r w:rsidRPr="00355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5EEB1" w14:textId="0607628D" w:rsidR="00DE2530" w:rsidRDefault="00DE2530" w:rsidP="009F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Розмір коштів, які витрачатимуться суб’єктом господарювання у зв’язку з виконанням вимог </w:t>
      </w:r>
      <w:proofErr w:type="spellStart"/>
      <w:r w:rsidR="00E52787">
        <w:rPr>
          <w:rFonts w:ascii="Times New Roman" w:hAnsi="Times New Roman"/>
          <w:sz w:val="28"/>
          <w:szCs w:val="28"/>
        </w:rPr>
        <w:t>проєкту</w:t>
      </w:r>
      <w:proofErr w:type="spellEnd"/>
      <w:r w:rsidR="00E52787">
        <w:rPr>
          <w:rFonts w:ascii="Times New Roman" w:hAnsi="Times New Roman"/>
          <w:sz w:val="28"/>
          <w:szCs w:val="28"/>
        </w:rPr>
        <w:t xml:space="preserve"> наказу</w:t>
      </w:r>
      <w:r w:rsidR="00E33A1F">
        <w:rPr>
          <w:rFonts w:ascii="Times New Roman" w:hAnsi="Times New Roman"/>
          <w:sz w:val="28"/>
          <w:szCs w:val="28"/>
        </w:rPr>
        <w:t>,</w:t>
      </w:r>
      <w:r w:rsidR="00E5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298E">
        <w:rPr>
          <w:rFonts w:ascii="Times New Roman" w:hAnsi="Times New Roman" w:cs="Times New Roman"/>
          <w:sz w:val="28"/>
          <w:szCs w:val="28"/>
        </w:rPr>
        <w:t>60,69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45810F83" w14:textId="45AC7989" w:rsidR="0008392A" w:rsidRDefault="00DE2530" w:rsidP="009F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часу, який витрачатиметься суб’єктом господарювання у зв’язку з виконанням вимог</w:t>
      </w:r>
      <w:r w:rsidR="00675326" w:rsidRPr="0067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326">
        <w:rPr>
          <w:rFonts w:ascii="Times New Roman" w:hAnsi="Times New Roman"/>
          <w:sz w:val="28"/>
          <w:szCs w:val="28"/>
        </w:rPr>
        <w:t>проєкту</w:t>
      </w:r>
      <w:proofErr w:type="spellEnd"/>
      <w:r w:rsidR="00675326">
        <w:rPr>
          <w:rFonts w:ascii="Times New Roman" w:hAnsi="Times New Roman"/>
          <w:sz w:val="28"/>
          <w:szCs w:val="28"/>
        </w:rPr>
        <w:t xml:space="preserve"> наказу</w:t>
      </w:r>
      <w:r w:rsidR="00B8165C">
        <w:rPr>
          <w:rFonts w:ascii="Times New Roman" w:hAnsi="Times New Roman"/>
          <w:sz w:val="28"/>
          <w:szCs w:val="28"/>
        </w:rPr>
        <w:t>,</w:t>
      </w:r>
      <w:r w:rsidR="00675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A4298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годин</w:t>
      </w:r>
      <w:r w:rsidR="00A429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(0,5 години – ознайомлення, </w:t>
      </w:r>
      <w:r w:rsidR="00A42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годин</w:t>
      </w:r>
      <w:r w:rsidR="00A429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організ</w:t>
      </w:r>
      <w:r w:rsidR="0090101B">
        <w:rPr>
          <w:rFonts w:ascii="Times New Roman" w:hAnsi="Times New Roman" w:cs="Times New Roman"/>
          <w:sz w:val="28"/>
          <w:szCs w:val="28"/>
        </w:rPr>
        <w:t>ація</w:t>
      </w:r>
      <w:r>
        <w:rPr>
          <w:rFonts w:ascii="Times New Roman" w:hAnsi="Times New Roman" w:cs="Times New Roman"/>
          <w:sz w:val="28"/>
          <w:szCs w:val="28"/>
        </w:rPr>
        <w:t xml:space="preserve"> виконання вимог</w:t>
      </w:r>
      <w:r w:rsidR="0090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63F">
        <w:rPr>
          <w:rFonts w:ascii="Times New Roman" w:hAnsi="Times New Roman"/>
          <w:sz w:val="28"/>
          <w:szCs w:val="28"/>
        </w:rPr>
        <w:t>проєкту</w:t>
      </w:r>
      <w:proofErr w:type="spellEnd"/>
      <w:r w:rsidR="0090363F">
        <w:rPr>
          <w:rFonts w:ascii="Times New Roman" w:hAnsi="Times New Roman"/>
          <w:sz w:val="28"/>
          <w:szCs w:val="28"/>
        </w:rPr>
        <w:t xml:space="preserve"> наказу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5EAB286" w14:textId="18261CEC" w:rsidR="00DE2530" w:rsidRPr="00650295" w:rsidRDefault="00DE2530" w:rsidP="009F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295">
        <w:rPr>
          <w:rFonts w:ascii="Times New Roman" w:eastAsia="Times New Roman" w:hAnsi="Times New Roman" w:cs="Times New Roman"/>
          <w:sz w:val="28"/>
          <w:szCs w:val="28"/>
        </w:rPr>
        <w:t>Рівень поінформованості суб’єктів господарювання</w:t>
      </w:r>
      <w:r w:rsidRPr="00650295">
        <w:rPr>
          <w:rFonts w:ascii="Times New Roman" w:hAnsi="Times New Roman" w:cs="Times New Roman"/>
          <w:sz w:val="28"/>
          <w:szCs w:val="28"/>
        </w:rPr>
        <w:t xml:space="preserve">, </w:t>
      </w:r>
      <w:r w:rsidR="00A4298E" w:rsidRPr="00A4298E">
        <w:rPr>
          <w:rFonts w:ascii="Times New Roman" w:hAnsi="Times New Roman" w:cs="Times New Roman"/>
          <w:sz w:val="28"/>
          <w:szCs w:val="28"/>
        </w:rPr>
        <w:t>центральних та місцевих органів виконавчої влади і органів місцевого самоврядування</w:t>
      </w:r>
      <w:r w:rsidR="005B50F6">
        <w:rPr>
          <w:rFonts w:ascii="Times New Roman" w:hAnsi="Times New Roman" w:cs="Times New Roman"/>
          <w:sz w:val="28"/>
          <w:szCs w:val="28"/>
        </w:rPr>
        <w:t>,</w:t>
      </w:r>
      <w:r w:rsidR="001F61E0">
        <w:rPr>
          <w:rFonts w:ascii="Times New Roman" w:hAnsi="Times New Roman" w:cs="Times New Roman"/>
          <w:sz w:val="28"/>
          <w:szCs w:val="28"/>
        </w:rPr>
        <w:t xml:space="preserve"> а</w:t>
      </w:r>
      <w:r w:rsidR="00A4298E" w:rsidRPr="00A4298E">
        <w:rPr>
          <w:rFonts w:ascii="Times New Roman" w:hAnsi="Times New Roman" w:cs="Times New Roman"/>
          <w:sz w:val="28"/>
          <w:szCs w:val="28"/>
        </w:rPr>
        <w:t xml:space="preserve"> та</w:t>
      </w:r>
      <w:r w:rsidR="001F61E0">
        <w:rPr>
          <w:rFonts w:ascii="Times New Roman" w:hAnsi="Times New Roman" w:cs="Times New Roman"/>
          <w:sz w:val="28"/>
          <w:szCs w:val="28"/>
        </w:rPr>
        <w:t>кож</w:t>
      </w:r>
      <w:r w:rsidR="00A4298E" w:rsidRPr="00A4298E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A4298E">
        <w:rPr>
          <w:rFonts w:ascii="Times New Roman" w:hAnsi="Times New Roman" w:cs="Times New Roman"/>
          <w:sz w:val="28"/>
          <w:szCs w:val="28"/>
        </w:rPr>
        <w:t xml:space="preserve"> </w:t>
      </w:r>
      <w:r w:rsidRPr="00650295">
        <w:rPr>
          <w:rFonts w:ascii="Times New Roman" w:eastAsia="Times New Roman" w:hAnsi="Times New Roman" w:cs="Times New Roman"/>
          <w:sz w:val="28"/>
          <w:szCs w:val="28"/>
        </w:rPr>
        <w:t>з основних положень</w:t>
      </w:r>
      <w:r w:rsidR="00C45843" w:rsidRPr="00C4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843">
        <w:rPr>
          <w:rFonts w:ascii="Times New Roman" w:hAnsi="Times New Roman"/>
          <w:sz w:val="28"/>
          <w:szCs w:val="28"/>
        </w:rPr>
        <w:t>проєкту</w:t>
      </w:r>
      <w:proofErr w:type="spellEnd"/>
      <w:r w:rsidR="00C45843">
        <w:rPr>
          <w:rFonts w:ascii="Times New Roman" w:hAnsi="Times New Roman"/>
          <w:sz w:val="28"/>
          <w:szCs w:val="28"/>
        </w:rPr>
        <w:t xml:space="preserve"> наказу </w:t>
      </w:r>
      <w:r w:rsidRPr="00650295">
        <w:rPr>
          <w:rFonts w:ascii="Times New Roman" w:eastAsia="Times New Roman" w:hAnsi="Times New Roman" w:cs="Times New Roman"/>
          <w:sz w:val="28"/>
          <w:szCs w:val="28"/>
        </w:rPr>
        <w:t xml:space="preserve">– високий. </w:t>
      </w:r>
    </w:p>
    <w:p w14:paraId="57CF8A5B" w14:textId="77777777" w:rsidR="00DE2530" w:rsidRPr="00650295" w:rsidRDefault="00DE2530" w:rsidP="009F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49032923"/>
      <w:bookmarkEnd w:id="12"/>
      <w:r w:rsidRPr="00650295">
        <w:rPr>
          <w:rFonts w:ascii="Times New Roman" w:hAnsi="Times New Roman" w:cs="Times New Roman"/>
          <w:sz w:val="28"/>
          <w:szCs w:val="28"/>
        </w:rPr>
        <w:lastRenderedPageBreak/>
        <w:t xml:space="preserve">Проєкт наказу </w:t>
      </w:r>
      <w:r>
        <w:rPr>
          <w:rFonts w:ascii="Times New Roman" w:hAnsi="Times New Roman" w:cs="Times New Roman"/>
          <w:sz w:val="28"/>
          <w:szCs w:val="28"/>
        </w:rPr>
        <w:t>та відповідний аналіз регуляторного впливу оприлюднено</w:t>
      </w:r>
      <w:r w:rsidRPr="00650295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Pr="0065029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50295">
        <w:rPr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5029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http://www.mvs.gov.ua/</w:t>
        </w:r>
      </w:hyperlink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</w:rPr>
        <w:t>)</w:t>
      </w:r>
      <w:r w:rsidRPr="00650295">
        <w:rPr>
          <w:rFonts w:ascii="Times New Roman" w:hAnsi="Times New Roman" w:cs="Times New Roman"/>
          <w:sz w:val="28"/>
          <w:szCs w:val="28"/>
        </w:rPr>
        <w:t>.</w:t>
      </w:r>
    </w:p>
    <w:p w14:paraId="61D367D9" w14:textId="6E4FFCFB" w:rsidR="00D827BD" w:rsidRPr="00D827BD" w:rsidRDefault="00D827BD" w:rsidP="00C8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49032943"/>
      <w:bookmarkEnd w:id="13"/>
      <w:r>
        <w:rPr>
          <w:rFonts w:ascii="Times New Roman" w:hAnsi="Times New Roman" w:cs="Times New Roman"/>
          <w:sz w:val="28"/>
          <w:szCs w:val="28"/>
        </w:rPr>
        <w:t xml:space="preserve">Кількісними показниками результативності </w:t>
      </w:r>
      <w:proofErr w:type="spellStart"/>
      <w:r w:rsidR="00E55378">
        <w:rPr>
          <w:rFonts w:ascii="Times New Roman" w:hAnsi="Times New Roman"/>
          <w:sz w:val="28"/>
          <w:szCs w:val="28"/>
        </w:rPr>
        <w:t>проєкту</w:t>
      </w:r>
      <w:proofErr w:type="spellEnd"/>
      <w:r w:rsidR="00E55378">
        <w:rPr>
          <w:rFonts w:ascii="Times New Roman" w:hAnsi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80363">
        <w:rPr>
          <w:rFonts w:ascii="Times New Roman" w:hAnsi="Times New Roman" w:cs="Times New Roman"/>
          <w:sz w:val="28"/>
          <w:szCs w:val="28"/>
        </w:rPr>
        <w:t xml:space="preserve"> з</w:t>
      </w:r>
      <w:r w:rsidR="00A4298E">
        <w:rPr>
          <w:rFonts w:ascii="Times New Roman" w:hAnsi="Times New Roman" w:cs="Times New Roman"/>
          <w:sz w:val="28"/>
          <w:szCs w:val="28"/>
        </w:rPr>
        <w:t>меншення к</w:t>
      </w:r>
      <w:r>
        <w:rPr>
          <w:rFonts w:ascii="Times New Roman" w:hAnsi="Times New Roman" w:cs="Times New Roman"/>
          <w:sz w:val="28"/>
          <w:szCs w:val="28"/>
        </w:rPr>
        <w:t>ільк</w:t>
      </w:r>
      <w:r w:rsidR="00A4298E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4298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скарг</w:t>
      </w:r>
      <w:r w:rsidR="0013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звернень від </w:t>
      </w:r>
      <w:r w:rsidR="00DE2530"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z w:val="28"/>
          <w:szCs w:val="28"/>
        </w:rPr>
        <w:t xml:space="preserve"> господарювання, </w:t>
      </w:r>
      <w:r w:rsidR="00DE2530">
        <w:rPr>
          <w:rFonts w:ascii="Times New Roman" w:hAnsi="Times New Roman" w:cs="Times New Roman"/>
          <w:sz w:val="28"/>
          <w:szCs w:val="28"/>
        </w:rPr>
        <w:t>пов’язаних</w:t>
      </w:r>
      <w:r>
        <w:rPr>
          <w:rFonts w:ascii="Times New Roman" w:hAnsi="Times New Roman" w:cs="Times New Roman"/>
          <w:sz w:val="28"/>
          <w:szCs w:val="28"/>
        </w:rPr>
        <w:t xml:space="preserve"> із дією</w:t>
      </w:r>
      <w:r w:rsidR="004A4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17C">
        <w:rPr>
          <w:rFonts w:ascii="Times New Roman" w:hAnsi="Times New Roman"/>
          <w:sz w:val="28"/>
          <w:szCs w:val="28"/>
        </w:rPr>
        <w:t>проєкту</w:t>
      </w:r>
      <w:proofErr w:type="spellEnd"/>
      <w:r w:rsidR="004A417C">
        <w:rPr>
          <w:rFonts w:ascii="Times New Roman" w:hAnsi="Times New Roman"/>
          <w:sz w:val="28"/>
          <w:szCs w:val="28"/>
        </w:rPr>
        <w:t xml:space="preserve"> наказу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4184D04D" w14:textId="0794BD30" w:rsidR="00763548" w:rsidRDefault="00763548" w:rsidP="009F3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35DC5" w14:textId="4E8F3984" w:rsidR="00381174" w:rsidRPr="00EC6FE9" w:rsidRDefault="00B15CDC" w:rsidP="009F3B25">
      <w:pPr>
        <w:tabs>
          <w:tab w:val="left" w:pos="709"/>
        </w:tabs>
        <w:spacing w:after="0" w:line="240" w:lineRule="auto"/>
        <w:ind w:firstLine="567"/>
        <w:jc w:val="center"/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X. Визначення</w:t>
      </w:r>
      <w:r w:rsidR="000652D2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заходів, за допомогою</w:t>
      </w:r>
      <w:r w:rsidR="00803517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яких</w:t>
      </w:r>
      <w:r w:rsidR="00803517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здійснюватиметься</w:t>
      </w:r>
      <w:r w:rsidR="00803517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відстеження</w:t>
      </w:r>
      <w:r w:rsidR="00803517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результативності</w:t>
      </w:r>
      <w:r w:rsidR="000652D2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48A" w:rsidRPr="00EC6FE9">
        <w:rPr>
          <w:rStyle w:val="rvts15"/>
          <w:rFonts w:ascii="Times New Roman" w:hAnsi="Times New Roman" w:cs="Times New Roman"/>
          <w:b/>
          <w:color w:val="000000" w:themeColor="text1"/>
          <w:sz w:val="28"/>
          <w:szCs w:val="28"/>
        </w:rPr>
        <w:t>дії регуляторного акта</w:t>
      </w:r>
    </w:p>
    <w:p w14:paraId="078F762B" w14:textId="6295A871" w:rsidR="00781AEC" w:rsidRPr="00781AEC" w:rsidRDefault="00781AEC" w:rsidP="009F3B2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15" w:name="_Hlk149047179"/>
      <w:r w:rsidRPr="00781AEC">
        <w:rPr>
          <w:sz w:val="28"/>
          <w:szCs w:val="28"/>
        </w:rPr>
        <w:t xml:space="preserve">Відстеження результативності </w:t>
      </w:r>
      <w:proofErr w:type="spellStart"/>
      <w:r w:rsidR="00252C4E">
        <w:rPr>
          <w:sz w:val="28"/>
          <w:szCs w:val="28"/>
        </w:rPr>
        <w:t>проєкту</w:t>
      </w:r>
      <w:proofErr w:type="spellEnd"/>
      <w:r w:rsidR="00252C4E">
        <w:rPr>
          <w:sz w:val="28"/>
          <w:szCs w:val="28"/>
        </w:rPr>
        <w:t xml:space="preserve"> наказу </w:t>
      </w:r>
      <w:r w:rsidRPr="00781AEC">
        <w:rPr>
          <w:sz w:val="28"/>
          <w:szCs w:val="28"/>
        </w:rPr>
        <w:t>здійснюватиметься шляхом проведення базового, повторного та періодичного відстеження статистичних показників результативності акта, визначених під час проведення аналізу впливу</w:t>
      </w:r>
      <w:r w:rsidR="00A5250A" w:rsidRPr="00A5250A">
        <w:rPr>
          <w:sz w:val="28"/>
          <w:szCs w:val="28"/>
        </w:rPr>
        <w:t xml:space="preserve"> </w:t>
      </w:r>
      <w:proofErr w:type="spellStart"/>
      <w:r w:rsidR="00A5250A">
        <w:rPr>
          <w:sz w:val="28"/>
          <w:szCs w:val="28"/>
        </w:rPr>
        <w:t>проєкту</w:t>
      </w:r>
      <w:proofErr w:type="spellEnd"/>
      <w:r w:rsidR="00A5250A">
        <w:rPr>
          <w:sz w:val="28"/>
          <w:szCs w:val="28"/>
        </w:rPr>
        <w:t xml:space="preserve"> наказу</w:t>
      </w:r>
      <w:r w:rsidRPr="00781AEC">
        <w:rPr>
          <w:sz w:val="28"/>
          <w:szCs w:val="28"/>
        </w:rPr>
        <w:t>.</w:t>
      </w:r>
    </w:p>
    <w:p w14:paraId="65811B4A" w14:textId="0917F8E7" w:rsidR="0006448A" w:rsidRPr="00781AEC" w:rsidRDefault="0006448A" w:rsidP="009F3B2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16" w:name="_Hlk149047437"/>
      <w:bookmarkEnd w:id="15"/>
      <w:r w:rsidRPr="00781AEC">
        <w:rPr>
          <w:sz w:val="28"/>
          <w:szCs w:val="28"/>
        </w:rPr>
        <w:t xml:space="preserve">Базове відстеження результативності </w:t>
      </w:r>
      <w:r w:rsidR="00781AEC" w:rsidRPr="00781AEC">
        <w:rPr>
          <w:sz w:val="28"/>
          <w:szCs w:val="28"/>
        </w:rPr>
        <w:t>проєкту наказу</w:t>
      </w:r>
      <w:r w:rsidRPr="00781AEC">
        <w:rPr>
          <w:sz w:val="28"/>
          <w:szCs w:val="28"/>
        </w:rPr>
        <w:t xml:space="preserve"> здійснюватиметься</w:t>
      </w:r>
      <w:r w:rsidR="00781AEC" w:rsidRPr="00781AEC">
        <w:rPr>
          <w:sz w:val="28"/>
          <w:szCs w:val="28"/>
        </w:rPr>
        <w:t xml:space="preserve"> через один рік після </w:t>
      </w:r>
      <w:r w:rsidRPr="00781AEC">
        <w:rPr>
          <w:sz w:val="28"/>
          <w:szCs w:val="28"/>
        </w:rPr>
        <w:t>набрання</w:t>
      </w:r>
      <w:r w:rsidR="00C93D9B">
        <w:rPr>
          <w:sz w:val="28"/>
          <w:szCs w:val="28"/>
        </w:rPr>
        <w:t xml:space="preserve"> ним</w:t>
      </w:r>
      <w:r w:rsidRPr="00781AEC">
        <w:rPr>
          <w:sz w:val="28"/>
          <w:szCs w:val="28"/>
        </w:rPr>
        <w:t xml:space="preserve"> чинності шляхом збору </w:t>
      </w:r>
      <w:r w:rsidR="00781AEC" w:rsidRPr="00781AEC">
        <w:rPr>
          <w:sz w:val="28"/>
          <w:szCs w:val="28"/>
        </w:rPr>
        <w:t xml:space="preserve">статистичних даних, одержання </w:t>
      </w:r>
      <w:r w:rsidRPr="00781AEC">
        <w:rPr>
          <w:sz w:val="28"/>
          <w:szCs w:val="28"/>
        </w:rPr>
        <w:t>пропозицій</w:t>
      </w:r>
      <w:r w:rsidR="00781AEC" w:rsidRPr="00781AEC">
        <w:rPr>
          <w:sz w:val="28"/>
          <w:szCs w:val="28"/>
        </w:rPr>
        <w:t xml:space="preserve"> до нього,</w:t>
      </w:r>
      <w:r w:rsidRPr="00781AEC">
        <w:rPr>
          <w:sz w:val="28"/>
          <w:szCs w:val="28"/>
        </w:rPr>
        <w:t xml:space="preserve"> їх аналізу.</w:t>
      </w:r>
    </w:p>
    <w:p w14:paraId="2500E616" w14:textId="02B7D71E" w:rsidR="0006448A" w:rsidRPr="00DE2530" w:rsidRDefault="0006448A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81AEC">
        <w:rPr>
          <w:rFonts w:ascii="Times New Roman" w:hAnsi="Times New Roman"/>
          <w:color w:val="auto"/>
          <w:sz w:val="28"/>
          <w:szCs w:val="28"/>
        </w:rPr>
        <w:t xml:space="preserve">Повторне відстеження </w:t>
      </w:r>
      <w:r w:rsidR="00781AEC" w:rsidRPr="00781AEC">
        <w:rPr>
          <w:rFonts w:ascii="Times New Roman" w:hAnsi="Times New Roman"/>
          <w:color w:val="auto"/>
          <w:sz w:val="28"/>
          <w:szCs w:val="28"/>
        </w:rPr>
        <w:t xml:space="preserve">планується здійснити </w:t>
      </w:r>
      <w:r w:rsidRPr="00781AEC">
        <w:rPr>
          <w:rFonts w:ascii="Times New Roman" w:hAnsi="Times New Roman"/>
          <w:color w:val="auto"/>
          <w:sz w:val="28"/>
          <w:szCs w:val="28"/>
        </w:rPr>
        <w:t xml:space="preserve">через рік після </w:t>
      </w:r>
      <w:r w:rsidR="00781AEC" w:rsidRPr="00781AEC">
        <w:rPr>
          <w:rFonts w:ascii="Times New Roman" w:hAnsi="Times New Roman"/>
          <w:color w:val="auto"/>
          <w:sz w:val="28"/>
          <w:szCs w:val="28"/>
        </w:rPr>
        <w:t xml:space="preserve">проведення базового відстеження результативності </w:t>
      </w:r>
      <w:proofErr w:type="spellStart"/>
      <w:r w:rsidR="00BA2AD0">
        <w:rPr>
          <w:rFonts w:ascii="Times New Roman" w:hAnsi="Times New Roman"/>
          <w:color w:val="auto"/>
          <w:sz w:val="28"/>
          <w:szCs w:val="28"/>
        </w:rPr>
        <w:t>проєкту</w:t>
      </w:r>
      <w:proofErr w:type="spellEnd"/>
      <w:r w:rsidR="00BA2AD0">
        <w:rPr>
          <w:rFonts w:ascii="Times New Roman" w:hAnsi="Times New Roman"/>
          <w:color w:val="auto"/>
          <w:sz w:val="28"/>
          <w:szCs w:val="28"/>
        </w:rPr>
        <w:t xml:space="preserve"> наказу.</w:t>
      </w:r>
    </w:p>
    <w:p w14:paraId="7DF762C9" w14:textId="76D7105C" w:rsidR="00797DC6" w:rsidRPr="00DE2530" w:rsidRDefault="0006448A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E2530">
        <w:rPr>
          <w:rFonts w:ascii="Times New Roman" w:hAnsi="Times New Roman"/>
          <w:color w:val="auto"/>
          <w:sz w:val="28"/>
          <w:szCs w:val="28"/>
        </w:rPr>
        <w:t>Періодичн</w:t>
      </w:r>
      <w:r w:rsidR="00650910">
        <w:rPr>
          <w:rFonts w:ascii="Times New Roman" w:hAnsi="Times New Roman"/>
          <w:color w:val="auto"/>
          <w:sz w:val="28"/>
          <w:szCs w:val="28"/>
        </w:rPr>
        <w:t>е</w:t>
      </w:r>
      <w:r w:rsidRPr="00DE2530">
        <w:rPr>
          <w:rFonts w:ascii="Times New Roman" w:hAnsi="Times New Roman"/>
          <w:color w:val="auto"/>
          <w:sz w:val="28"/>
          <w:szCs w:val="28"/>
        </w:rPr>
        <w:t xml:space="preserve"> відстеження </w:t>
      </w:r>
      <w:proofErr w:type="spellStart"/>
      <w:r w:rsidR="00781AEC" w:rsidRPr="00DE2530">
        <w:rPr>
          <w:rFonts w:ascii="Times New Roman" w:hAnsi="Times New Roman"/>
          <w:color w:val="auto"/>
          <w:sz w:val="28"/>
          <w:szCs w:val="28"/>
        </w:rPr>
        <w:t>проєкту</w:t>
      </w:r>
      <w:proofErr w:type="spellEnd"/>
      <w:r w:rsidR="00781AEC" w:rsidRPr="00DE2530">
        <w:rPr>
          <w:rFonts w:ascii="Times New Roman" w:hAnsi="Times New Roman"/>
          <w:color w:val="auto"/>
          <w:sz w:val="28"/>
          <w:szCs w:val="28"/>
        </w:rPr>
        <w:t xml:space="preserve"> наказу </w:t>
      </w:r>
      <w:r w:rsidR="00797DC6" w:rsidRPr="00DE2530">
        <w:rPr>
          <w:rFonts w:ascii="Times New Roman" w:hAnsi="Times New Roman"/>
          <w:color w:val="auto"/>
          <w:sz w:val="28"/>
          <w:szCs w:val="28"/>
        </w:rPr>
        <w:t>буд</w:t>
      </w:r>
      <w:r w:rsidR="00650910">
        <w:rPr>
          <w:rFonts w:ascii="Times New Roman" w:hAnsi="Times New Roman"/>
          <w:color w:val="auto"/>
          <w:sz w:val="28"/>
          <w:szCs w:val="28"/>
        </w:rPr>
        <w:t>е</w:t>
      </w:r>
      <w:r w:rsidR="00797DC6" w:rsidRPr="00DE253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E2530">
        <w:rPr>
          <w:rFonts w:ascii="Times New Roman" w:hAnsi="Times New Roman"/>
          <w:color w:val="auto"/>
          <w:sz w:val="28"/>
          <w:szCs w:val="28"/>
        </w:rPr>
        <w:t xml:space="preserve">здійснюватися </w:t>
      </w:r>
      <w:r w:rsidR="00797DC6" w:rsidRPr="00DE2530">
        <w:rPr>
          <w:rFonts w:ascii="Times New Roman" w:hAnsi="Times New Roman"/>
          <w:color w:val="auto"/>
          <w:sz w:val="28"/>
          <w:szCs w:val="28"/>
        </w:rPr>
        <w:t xml:space="preserve">один </w:t>
      </w:r>
      <w:r w:rsidRPr="00DE2530">
        <w:rPr>
          <w:rFonts w:ascii="Times New Roman" w:hAnsi="Times New Roman"/>
          <w:color w:val="auto"/>
          <w:sz w:val="28"/>
          <w:szCs w:val="28"/>
        </w:rPr>
        <w:t xml:space="preserve">раз на три роки </w:t>
      </w:r>
      <w:r w:rsidR="00FC252B" w:rsidRPr="00DE2530">
        <w:rPr>
          <w:rFonts w:ascii="Times New Roman" w:hAnsi="Times New Roman"/>
          <w:color w:val="auto"/>
          <w:sz w:val="28"/>
          <w:szCs w:val="28"/>
        </w:rPr>
        <w:t xml:space="preserve">після </w:t>
      </w:r>
      <w:r w:rsidR="00797DC6" w:rsidRPr="00DE2530">
        <w:rPr>
          <w:rFonts w:ascii="Times New Roman" w:hAnsi="Times New Roman"/>
          <w:color w:val="auto"/>
          <w:sz w:val="28"/>
          <w:szCs w:val="28"/>
        </w:rPr>
        <w:t>закінчення заходів з повторного відстеження результативності проєкту наказу.</w:t>
      </w:r>
    </w:p>
    <w:bookmarkEnd w:id="16"/>
    <w:p w14:paraId="2E87ABAA" w14:textId="65DF5C3A" w:rsidR="0006448A" w:rsidRPr="00DE2530" w:rsidRDefault="00797DC6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E2530">
        <w:rPr>
          <w:rFonts w:ascii="Times New Roman" w:hAnsi="Times New Roman"/>
          <w:color w:val="auto"/>
          <w:sz w:val="28"/>
          <w:szCs w:val="28"/>
        </w:rPr>
        <w:t>Вид даних, за допомогою яких здійснюватиметься відстеження результативності</w:t>
      </w:r>
      <w:r w:rsidR="00812DA2">
        <w:rPr>
          <w:rFonts w:ascii="Times New Roman" w:hAnsi="Times New Roman"/>
          <w:color w:val="auto"/>
          <w:sz w:val="28"/>
          <w:szCs w:val="28"/>
        </w:rPr>
        <w:t>,</w:t>
      </w:r>
      <w:r w:rsidRPr="00DE2530">
        <w:rPr>
          <w:rFonts w:ascii="Times New Roman" w:hAnsi="Times New Roman"/>
          <w:color w:val="auto"/>
          <w:sz w:val="28"/>
          <w:szCs w:val="28"/>
        </w:rPr>
        <w:t xml:space="preserve"> – статистичні. </w:t>
      </w:r>
    </w:p>
    <w:p w14:paraId="41EC04A9" w14:textId="3C813F0A" w:rsidR="00797DC6" w:rsidRPr="00DE2530" w:rsidRDefault="00797DC6" w:rsidP="009F3B2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E2530">
        <w:rPr>
          <w:rFonts w:ascii="Times New Roman" w:hAnsi="Times New Roman"/>
          <w:color w:val="auto"/>
          <w:sz w:val="28"/>
          <w:szCs w:val="28"/>
        </w:rPr>
        <w:t>У разі надходження пропозицій та зауважень щодо вирішення неврегульованих або проблемних питань буде розглядатис</w:t>
      </w:r>
      <w:r w:rsidR="00FE4F3E">
        <w:rPr>
          <w:rFonts w:ascii="Times New Roman" w:hAnsi="Times New Roman"/>
          <w:color w:val="auto"/>
          <w:sz w:val="28"/>
          <w:szCs w:val="28"/>
        </w:rPr>
        <w:t>я</w:t>
      </w:r>
      <w:r w:rsidRPr="00DE2530">
        <w:rPr>
          <w:rFonts w:ascii="Times New Roman" w:hAnsi="Times New Roman"/>
          <w:color w:val="auto"/>
          <w:sz w:val="28"/>
          <w:szCs w:val="28"/>
        </w:rPr>
        <w:t xml:space="preserve"> необхідність внесення відповідних змін.</w:t>
      </w:r>
    </w:p>
    <w:p w14:paraId="25D17226" w14:textId="2C3BA8C5" w:rsidR="0006448A" w:rsidRPr="00DE2530" w:rsidRDefault="0006448A" w:rsidP="009F3B25">
      <w:pPr>
        <w:pStyle w:val="3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E2530">
        <w:rPr>
          <w:rFonts w:ascii="Times New Roman" w:hAnsi="Times New Roman"/>
          <w:color w:val="auto"/>
          <w:sz w:val="28"/>
          <w:szCs w:val="28"/>
        </w:rPr>
        <w:t xml:space="preserve">Відстеження результативності </w:t>
      </w:r>
      <w:proofErr w:type="spellStart"/>
      <w:r w:rsidR="00F72E89">
        <w:rPr>
          <w:rFonts w:ascii="Times New Roman" w:hAnsi="Times New Roman"/>
          <w:color w:val="auto"/>
          <w:sz w:val="28"/>
          <w:szCs w:val="28"/>
        </w:rPr>
        <w:t>проєкту</w:t>
      </w:r>
      <w:proofErr w:type="spellEnd"/>
      <w:r w:rsidR="00F72E89">
        <w:rPr>
          <w:rFonts w:ascii="Times New Roman" w:hAnsi="Times New Roman"/>
          <w:color w:val="auto"/>
          <w:sz w:val="28"/>
          <w:szCs w:val="28"/>
        </w:rPr>
        <w:t xml:space="preserve"> наказу </w:t>
      </w:r>
      <w:r w:rsidR="00B40C41" w:rsidRPr="00DE2530">
        <w:rPr>
          <w:rFonts w:ascii="Times New Roman" w:hAnsi="Times New Roman"/>
          <w:color w:val="auto"/>
          <w:sz w:val="28"/>
          <w:szCs w:val="28"/>
        </w:rPr>
        <w:t xml:space="preserve">буде здійснювати </w:t>
      </w:r>
      <w:r w:rsidR="008F1897" w:rsidRPr="00DE2530">
        <w:rPr>
          <w:rFonts w:ascii="Times New Roman" w:hAnsi="Times New Roman"/>
          <w:color w:val="auto"/>
          <w:sz w:val="28"/>
          <w:szCs w:val="28"/>
        </w:rPr>
        <w:t>Національн</w:t>
      </w:r>
      <w:r w:rsidR="00000A5C" w:rsidRPr="00DE2530">
        <w:rPr>
          <w:rFonts w:ascii="Times New Roman" w:hAnsi="Times New Roman"/>
          <w:color w:val="auto"/>
          <w:sz w:val="28"/>
          <w:szCs w:val="28"/>
        </w:rPr>
        <w:t>а</w:t>
      </w:r>
      <w:r w:rsidR="008F1897" w:rsidRPr="00DE2530">
        <w:rPr>
          <w:rFonts w:ascii="Times New Roman" w:hAnsi="Times New Roman"/>
          <w:color w:val="auto"/>
          <w:sz w:val="28"/>
          <w:szCs w:val="28"/>
        </w:rPr>
        <w:t xml:space="preserve"> поліці</w:t>
      </w:r>
      <w:r w:rsidR="00000A5C" w:rsidRPr="00DE2530">
        <w:rPr>
          <w:rFonts w:ascii="Times New Roman" w:hAnsi="Times New Roman"/>
          <w:color w:val="auto"/>
          <w:sz w:val="28"/>
          <w:szCs w:val="28"/>
        </w:rPr>
        <w:t>я</w:t>
      </w:r>
      <w:r w:rsidR="008F1897" w:rsidRPr="00DE2530">
        <w:rPr>
          <w:rFonts w:ascii="Times New Roman" w:hAnsi="Times New Roman"/>
          <w:color w:val="auto"/>
          <w:sz w:val="28"/>
          <w:szCs w:val="28"/>
        </w:rPr>
        <w:t xml:space="preserve"> України</w:t>
      </w:r>
      <w:r w:rsidR="00B40C41" w:rsidRPr="00DE2530">
        <w:rPr>
          <w:rFonts w:ascii="Times New Roman" w:hAnsi="Times New Roman"/>
          <w:color w:val="auto"/>
          <w:sz w:val="28"/>
          <w:szCs w:val="28"/>
        </w:rPr>
        <w:t xml:space="preserve"> протягом усього </w:t>
      </w:r>
      <w:r w:rsidR="00615E57">
        <w:rPr>
          <w:rFonts w:ascii="Times New Roman" w:hAnsi="Times New Roman"/>
          <w:color w:val="auto"/>
          <w:sz w:val="28"/>
          <w:szCs w:val="28"/>
        </w:rPr>
        <w:t>строку</w:t>
      </w:r>
      <w:bookmarkStart w:id="17" w:name="_GoBack"/>
      <w:bookmarkEnd w:id="17"/>
      <w:r w:rsidR="00B40C41" w:rsidRPr="00DE2530">
        <w:rPr>
          <w:rFonts w:ascii="Times New Roman" w:hAnsi="Times New Roman"/>
          <w:color w:val="auto"/>
          <w:sz w:val="28"/>
          <w:szCs w:val="28"/>
        </w:rPr>
        <w:t xml:space="preserve"> його дії</w:t>
      </w:r>
      <w:r w:rsidR="0010347E" w:rsidRPr="00DE2530">
        <w:rPr>
          <w:rFonts w:ascii="Times New Roman" w:hAnsi="Times New Roman"/>
          <w:color w:val="auto"/>
          <w:sz w:val="28"/>
          <w:szCs w:val="28"/>
        </w:rPr>
        <w:t>.</w:t>
      </w:r>
    </w:p>
    <w:p w14:paraId="305DC9BF" w14:textId="13D07AC1" w:rsidR="007970DB" w:rsidRPr="00DE2530" w:rsidRDefault="007970DB" w:rsidP="009F3B25">
      <w:pPr>
        <w:pStyle w:val="31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001EA06" w14:textId="77777777" w:rsidR="001C063A" w:rsidRPr="00EC6FE9" w:rsidRDefault="001C063A" w:rsidP="00A47DE4">
      <w:pPr>
        <w:pStyle w:val="31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775D04" w14:textId="4E3E6CDE" w:rsidR="004923F1" w:rsidRPr="00EC6FE9" w:rsidRDefault="00EE1564" w:rsidP="00EE1564">
      <w:pPr>
        <w:pStyle w:val="Style24"/>
        <w:tabs>
          <w:tab w:val="left" w:pos="7088"/>
        </w:tabs>
        <w:spacing w:line="240" w:lineRule="auto"/>
        <w:ind w:firstLine="0"/>
        <w:rPr>
          <w:rFonts w:eastAsia="Calibri" w:hAnsi="Times New Roman"/>
          <w:b/>
          <w:color w:val="auto"/>
          <w:kern w:val="0"/>
          <w:sz w:val="28"/>
          <w:szCs w:val="28"/>
        </w:rPr>
      </w:pPr>
      <w:r w:rsidRPr="00EC6FE9">
        <w:rPr>
          <w:rFonts w:eastAsia="Calibri" w:hAnsi="Times New Roman"/>
          <w:b/>
          <w:color w:val="auto"/>
          <w:kern w:val="0"/>
          <w:sz w:val="28"/>
          <w:szCs w:val="28"/>
        </w:rPr>
        <w:t xml:space="preserve">Міністр </w:t>
      </w:r>
      <w:r w:rsidRPr="00EC6FE9">
        <w:rPr>
          <w:rFonts w:eastAsia="Calibri" w:hAnsi="Times New Roman"/>
          <w:b/>
          <w:color w:val="auto"/>
          <w:kern w:val="0"/>
          <w:sz w:val="28"/>
          <w:szCs w:val="28"/>
        </w:rPr>
        <w:br/>
        <w:t>внутрішніх справ України</w:t>
      </w:r>
      <w:r w:rsidRPr="00EC6FE9">
        <w:rPr>
          <w:rFonts w:eastAsia="Calibri" w:hAnsi="Times New Roman"/>
          <w:b/>
          <w:color w:val="auto"/>
          <w:kern w:val="0"/>
          <w:sz w:val="28"/>
          <w:szCs w:val="28"/>
        </w:rPr>
        <w:tab/>
        <w:t xml:space="preserve">   Ігор КЛИМЕНКО</w:t>
      </w:r>
    </w:p>
    <w:p w14:paraId="4BE35C23" w14:textId="41D08874" w:rsidR="002946FB" w:rsidRPr="00EC6FE9" w:rsidRDefault="002946FB" w:rsidP="00EE1564">
      <w:pPr>
        <w:pStyle w:val="Style24"/>
        <w:tabs>
          <w:tab w:val="left" w:pos="7088"/>
        </w:tabs>
        <w:spacing w:line="240" w:lineRule="auto"/>
        <w:ind w:firstLine="0"/>
        <w:rPr>
          <w:rFonts w:hAnsi="Times New Roman"/>
          <w:color w:val="auto"/>
          <w:sz w:val="28"/>
          <w:szCs w:val="28"/>
          <w:lang w:eastAsia="uk-UA"/>
        </w:rPr>
      </w:pPr>
      <w:r w:rsidRPr="00EC6FE9">
        <w:rPr>
          <w:rFonts w:hAnsi="Times New Roman"/>
          <w:color w:val="auto"/>
          <w:sz w:val="28"/>
          <w:szCs w:val="28"/>
          <w:lang w:eastAsia="uk-UA"/>
        </w:rPr>
        <w:t>___ ____________ 2023 року</w:t>
      </w:r>
    </w:p>
    <w:p w14:paraId="29D94DCE" w14:textId="77777777" w:rsidR="00463260" w:rsidRPr="00EC6FE9" w:rsidRDefault="00463260" w:rsidP="00224C92">
      <w:pPr>
        <w:pStyle w:val="Style24"/>
        <w:widowControl/>
        <w:spacing w:line="240" w:lineRule="auto"/>
        <w:ind w:firstLine="0"/>
        <w:rPr>
          <w:rFonts w:hAnsi="Times New Roman"/>
          <w:color w:val="auto"/>
          <w:sz w:val="28"/>
          <w:szCs w:val="28"/>
          <w:lang w:eastAsia="uk-UA"/>
        </w:rPr>
      </w:pPr>
    </w:p>
    <w:p w14:paraId="20B05877" w14:textId="6791D74D" w:rsidR="00C54DC3" w:rsidRPr="00EC6FE9" w:rsidRDefault="00C54DC3" w:rsidP="00224C92">
      <w:pPr>
        <w:pStyle w:val="Style24"/>
        <w:widowControl/>
        <w:spacing w:line="240" w:lineRule="auto"/>
        <w:ind w:firstLine="0"/>
        <w:rPr>
          <w:rFonts w:hAnsi="Times New Roman"/>
          <w:b/>
          <w:sz w:val="28"/>
          <w:szCs w:val="28"/>
        </w:rPr>
      </w:pPr>
    </w:p>
    <w:sectPr w:rsidR="00C54DC3" w:rsidRPr="00EC6FE9" w:rsidSect="0058332E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137C" w14:textId="77777777" w:rsidR="00482C43" w:rsidRDefault="00482C43">
      <w:pPr>
        <w:spacing w:after="0" w:line="240" w:lineRule="auto"/>
      </w:pPr>
      <w:r>
        <w:separator/>
      </w:r>
    </w:p>
  </w:endnote>
  <w:endnote w:type="continuationSeparator" w:id="0">
    <w:p w14:paraId="35CE90EF" w14:textId="77777777" w:rsidR="00482C43" w:rsidRDefault="004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E13F" w14:textId="77777777" w:rsidR="00482C43" w:rsidRDefault="00482C43">
      <w:pPr>
        <w:spacing w:after="0" w:line="240" w:lineRule="auto"/>
      </w:pPr>
      <w:r>
        <w:separator/>
      </w:r>
    </w:p>
  </w:footnote>
  <w:footnote w:type="continuationSeparator" w:id="0">
    <w:p w14:paraId="2BDCA709" w14:textId="77777777" w:rsidR="00482C43" w:rsidRDefault="0048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806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2BA2C" w14:textId="77777777" w:rsidR="005042D1" w:rsidRPr="006C7940" w:rsidRDefault="005042D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9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9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79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074" w:rsidRPr="006C794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C79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9B22BFF" w14:textId="77777777" w:rsidR="005042D1" w:rsidRDefault="005042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8BB"/>
    <w:multiLevelType w:val="hybridMultilevel"/>
    <w:tmpl w:val="D14276E6"/>
    <w:lvl w:ilvl="0" w:tplc="B8AE5A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426"/>
    <w:multiLevelType w:val="hybridMultilevel"/>
    <w:tmpl w:val="9190DF08"/>
    <w:lvl w:ilvl="0" w:tplc="16D4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953AA"/>
    <w:multiLevelType w:val="hybridMultilevel"/>
    <w:tmpl w:val="BE7AF65C"/>
    <w:lvl w:ilvl="0" w:tplc="9D08BDD2">
      <w:start w:val="5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D5E5956"/>
    <w:multiLevelType w:val="multilevel"/>
    <w:tmpl w:val="1E4479D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2080078D"/>
    <w:multiLevelType w:val="hybridMultilevel"/>
    <w:tmpl w:val="2EDC05A8"/>
    <w:lvl w:ilvl="0" w:tplc="D1E245D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560989"/>
    <w:multiLevelType w:val="hybridMultilevel"/>
    <w:tmpl w:val="22B27A62"/>
    <w:lvl w:ilvl="0" w:tplc="D3284EF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872322"/>
    <w:multiLevelType w:val="hybridMultilevel"/>
    <w:tmpl w:val="0EE83DF2"/>
    <w:lvl w:ilvl="0" w:tplc="54D62B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2BF5"/>
    <w:multiLevelType w:val="hybridMultilevel"/>
    <w:tmpl w:val="55FAB300"/>
    <w:lvl w:ilvl="0" w:tplc="81DA12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525C"/>
    <w:multiLevelType w:val="hybridMultilevel"/>
    <w:tmpl w:val="8670199A"/>
    <w:lvl w:ilvl="0" w:tplc="7FAC72B8">
      <w:start w:val="247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3AF5740"/>
    <w:multiLevelType w:val="multilevel"/>
    <w:tmpl w:val="E3F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D1E8E"/>
    <w:multiLevelType w:val="hybridMultilevel"/>
    <w:tmpl w:val="AE3827B8"/>
    <w:lvl w:ilvl="0" w:tplc="DF649F1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2A78F6"/>
    <w:multiLevelType w:val="hybridMultilevel"/>
    <w:tmpl w:val="2618AA14"/>
    <w:lvl w:ilvl="0" w:tplc="C7EEA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9AE4CA1"/>
    <w:multiLevelType w:val="hybridMultilevel"/>
    <w:tmpl w:val="ACF4A3DC"/>
    <w:lvl w:ilvl="0" w:tplc="1B62C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64"/>
    <w:rsid w:val="00000A5C"/>
    <w:rsid w:val="00000F06"/>
    <w:rsid w:val="000026BB"/>
    <w:rsid w:val="00002B96"/>
    <w:rsid w:val="000035AB"/>
    <w:rsid w:val="00003C81"/>
    <w:rsid w:val="00005199"/>
    <w:rsid w:val="00010CE4"/>
    <w:rsid w:val="0001176E"/>
    <w:rsid w:val="000130F7"/>
    <w:rsid w:val="0001338A"/>
    <w:rsid w:val="00013603"/>
    <w:rsid w:val="00013B79"/>
    <w:rsid w:val="00017103"/>
    <w:rsid w:val="00021BDC"/>
    <w:rsid w:val="000223AA"/>
    <w:rsid w:val="000235A2"/>
    <w:rsid w:val="00023F65"/>
    <w:rsid w:val="00026E9A"/>
    <w:rsid w:val="000309E9"/>
    <w:rsid w:val="00031416"/>
    <w:rsid w:val="0003229D"/>
    <w:rsid w:val="000347C3"/>
    <w:rsid w:val="00034D16"/>
    <w:rsid w:val="00041D19"/>
    <w:rsid w:val="0004200C"/>
    <w:rsid w:val="000422A0"/>
    <w:rsid w:val="00042782"/>
    <w:rsid w:val="0004296C"/>
    <w:rsid w:val="00042CB1"/>
    <w:rsid w:val="000443E2"/>
    <w:rsid w:val="000449E5"/>
    <w:rsid w:val="00047CB1"/>
    <w:rsid w:val="00050184"/>
    <w:rsid w:val="000506AA"/>
    <w:rsid w:val="00051B0D"/>
    <w:rsid w:val="00051ED9"/>
    <w:rsid w:val="00054698"/>
    <w:rsid w:val="000600BC"/>
    <w:rsid w:val="000605E9"/>
    <w:rsid w:val="0006153F"/>
    <w:rsid w:val="0006448A"/>
    <w:rsid w:val="000652D2"/>
    <w:rsid w:val="000668B9"/>
    <w:rsid w:val="0007152C"/>
    <w:rsid w:val="0007212A"/>
    <w:rsid w:val="0007230A"/>
    <w:rsid w:val="000723F8"/>
    <w:rsid w:val="00074279"/>
    <w:rsid w:val="00074EAA"/>
    <w:rsid w:val="000762BA"/>
    <w:rsid w:val="00076A64"/>
    <w:rsid w:val="0008204E"/>
    <w:rsid w:val="0008392A"/>
    <w:rsid w:val="000864CB"/>
    <w:rsid w:val="000872CA"/>
    <w:rsid w:val="000915E3"/>
    <w:rsid w:val="00091F89"/>
    <w:rsid w:val="00092A88"/>
    <w:rsid w:val="00092E7D"/>
    <w:rsid w:val="00092FB5"/>
    <w:rsid w:val="0009492D"/>
    <w:rsid w:val="00094E15"/>
    <w:rsid w:val="000978F8"/>
    <w:rsid w:val="00097E3C"/>
    <w:rsid w:val="00097E6B"/>
    <w:rsid w:val="00097F8A"/>
    <w:rsid w:val="000A2246"/>
    <w:rsid w:val="000A55AF"/>
    <w:rsid w:val="000A5CCA"/>
    <w:rsid w:val="000A7202"/>
    <w:rsid w:val="000B0263"/>
    <w:rsid w:val="000B14F5"/>
    <w:rsid w:val="000B185A"/>
    <w:rsid w:val="000B1B54"/>
    <w:rsid w:val="000B2467"/>
    <w:rsid w:val="000B3062"/>
    <w:rsid w:val="000B452C"/>
    <w:rsid w:val="000B49D4"/>
    <w:rsid w:val="000B4A08"/>
    <w:rsid w:val="000B5CE0"/>
    <w:rsid w:val="000C118B"/>
    <w:rsid w:val="000C1D9D"/>
    <w:rsid w:val="000C3775"/>
    <w:rsid w:val="000C38FF"/>
    <w:rsid w:val="000C4ED7"/>
    <w:rsid w:val="000C5216"/>
    <w:rsid w:val="000C6F66"/>
    <w:rsid w:val="000C7A27"/>
    <w:rsid w:val="000D1D18"/>
    <w:rsid w:val="000D507C"/>
    <w:rsid w:val="000D6BDF"/>
    <w:rsid w:val="000D6E26"/>
    <w:rsid w:val="000E0499"/>
    <w:rsid w:val="000E0EA8"/>
    <w:rsid w:val="000E4462"/>
    <w:rsid w:val="000E73E4"/>
    <w:rsid w:val="000F0705"/>
    <w:rsid w:val="000F1FE3"/>
    <w:rsid w:val="000F2B09"/>
    <w:rsid w:val="000F30EE"/>
    <w:rsid w:val="000F37FC"/>
    <w:rsid w:val="000F52B1"/>
    <w:rsid w:val="000F750E"/>
    <w:rsid w:val="000F77AC"/>
    <w:rsid w:val="00101950"/>
    <w:rsid w:val="00101ADA"/>
    <w:rsid w:val="001025E3"/>
    <w:rsid w:val="00102BA1"/>
    <w:rsid w:val="00102E57"/>
    <w:rsid w:val="0010347E"/>
    <w:rsid w:val="001041B2"/>
    <w:rsid w:val="00104678"/>
    <w:rsid w:val="00104AAC"/>
    <w:rsid w:val="00106327"/>
    <w:rsid w:val="00107658"/>
    <w:rsid w:val="0011146E"/>
    <w:rsid w:val="00111B84"/>
    <w:rsid w:val="00111E53"/>
    <w:rsid w:val="00112AB1"/>
    <w:rsid w:val="00112B14"/>
    <w:rsid w:val="001132A7"/>
    <w:rsid w:val="0011331D"/>
    <w:rsid w:val="00113CBA"/>
    <w:rsid w:val="00116866"/>
    <w:rsid w:val="00117009"/>
    <w:rsid w:val="00120325"/>
    <w:rsid w:val="001209B7"/>
    <w:rsid w:val="00121C06"/>
    <w:rsid w:val="001223A4"/>
    <w:rsid w:val="001223F9"/>
    <w:rsid w:val="001242BA"/>
    <w:rsid w:val="001276F6"/>
    <w:rsid w:val="0013024A"/>
    <w:rsid w:val="00130FF4"/>
    <w:rsid w:val="0013158F"/>
    <w:rsid w:val="00131CA4"/>
    <w:rsid w:val="00132667"/>
    <w:rsid w:val="00133319"/>
    <w:rsid w:val="00133800"/>
    <w:rsid w:val="00133D53"/>
    <w:rsid w:val="0013550F"/>
    <w:rsid w:val="00136F31"/>
    <w:rsid w:val="00137671"/>
    <w:rsid w:val="0014041E"/>
    <w:rsid w:val="0014108E"/>
    <w:rsid w:val="00141C1D"/>
    <w:rsid w:val="00143187"/>
    <w:rsid w:val="00144298"/>
    <w:rsid w:val="0014434C"/>
    <w:rsid w:val="00150CF4"/>
    <w:rsid w:val="001512C6"/>
    <w:rsid w:val="00151691"/>
    <w:rsid w:val="001536BA"/>
    <w:rsid w:val="00154424"/>
    <w:rsid w:val="0015613F"/>
    <w:rsid w:val="001563D1"/>
    <w:rsid w:val="00160B8B"/>
    <w:rsid w:val="00162378"/>
    <w:rsid w:val="00162FCD"/>
    <w:rsid w:val="00164656"/>
    <w:rsid w:val="001678F5"/>
    <w:rsid w:val="00167FB9"/>
    <w:rsid w:val="0017286F"/>
    <w:rsid w:val="00173935"/>
    <w:rsid w:val="0017525D"/>
    <w:rsid w:val="001763AB"/>
    <w:rsid w:val="00180171"/>
    <w:rsid w:val="0018060B"/>
    <w:rsid w:val="001829D3"/>
    <w:rsid w:val="001838A2"/>
    <w:rsid w:val="00184C1C"/>
    <w:rsid w:val="00187314"/>
    <w:rsid w:val="001916D0"/>
    <w:rsid w:val="00192A93"/>
    <w:rsid w:val="00192C9F"/>
    <w:rsid w:val="00192EBD"/>
    <w:rsid w:val="001939E8"/>
    <w:rsid w:val="0019439F"/>
    <w:rsid w:val="00194D9D"/>
    <w:rsid w:val="00197746"/>
    <w:rsid w:val="001A213F"/>
    <w:rsid w:val="001A4287"/>
    <w:rsid w:val="001A4919"/>
    <w:rsid w:val="001A565C"/>
    <w:rsid w:val="001A5FCD"/>
    <w:rsid w:val="001A6AFF"/>
    <w:rsid w:val="001A6B6C"/>
    <w:rsid w:val="001A6E1F"/>
    <w:rsid w:val="001B0203"/>
    <w:rsid w:val="001B0774"/>
    <w:rsid w:val="001B0882"/>
    <w:rsid w:val="001B165D"/>
    <w:rsid w:val="001B237A"/>
    <w:rsid w:val="001B3FE8"/>
    <w:rsid w:val="001B4048"/>
    <w:rsid w:val="001B463F"/>
    <w:rsid w:val="001B743F"/>
    <w:rsid w:val="001C0171"/>
    <w:rsid w:val="001C063A"/>
    <w:rsid w:val="001C0721"/>
    <w:rsid w:val="001C0D1C"/>
    <w:rsid w:val="001C0E4E"/>
    <w:rsid w:val="001C109E"/>
    <w:rsid w:val="001C4CE0"/>
    <w:rsid w:val="001C5F50"/>
    <w:rsid w:val="001D0DC5"/>
    <w:rsid w:val="001D0FF8"/>
    <w:rsid w:val="001D1897"/>
    <w:rsid w:val="001D463D"/>
    <w:rsid w:val="001D46AF"/>
    <w:rsid w:val="001D4B2F"/>
    <w:rsid w:val="001D5281"/>
    <w:rsid w:val="001D533A"/>
    <w:rsid w:val="001D53DD"/>
    <w:rsid w:val="001D717D"/>
    <w:rsid w:val="001D79CB"/>
    <w:rsid w:val="001E13F2"/>
    <w:rsid w:val="001E2A21"/>
    <w:rsid w:val="001E55A7"/>
    <w:rsid w:val="001E5D4B"/>
    <w:rsid w:val="001E63B3"/>
    <w:rsid w:val="001E7AA7"/>
    <w:rsid w:val="001F4D8B"/>
    <w:rsid w:val="001F606D"/>
    <w:rsid w:val="001F61E0"/>
    <w:rsid w:val="0020050E"/>
    <w:rsid w:val="00200C17"/>
    <w:rsid w:val="002058BE"/>
    <w:rsid w:val="002061D3"/>
    <w:rsid w:val="002101BD"/>
    <w:rsid w:val="002138EF"/>
    <w:rsid w:val="00213E18"/>
    <w:rsid w:val="00214E76"/>
    <w:rsid w:val="00220C2F"/>
    <w:rsid w:val="0022133A"/>
    <w:rsid w:val="002217C8"/>
    <w:rsid w:val="00223518"/>
    <w:rsid w:val="00224C92"/>
    <w:rsid w:val="00224E7A"/>
    <w:rsid w:val="00224FB0"/>
    <w:rsid w:val="00225D4B"/>
    <w:rsid w:val="002300F8"/>
    <w:rsid w:val="0023133A"/>
    <w:rsid w:val="00231D4B"/>
    <w:rsid w:val="00231FFF"/>
    <w:rsid w:val="00232E08"/>
    <w:rsid w:val="00233297"/>
    <w:rsid w:val="002343BD"/>
    <w:rsid w:val="00234ACA"/>
    <w:rsid w:val="00236FBA"/>
    <w:rsid w:val="00236FC3"/>
    <w:rsid w:val="00240779"/>
    <w:rsid w:val="00240A27"/>
    <w:rsid w:val="002430DA"/>
    <w:rsid w:val="00244163"/>
    <w:rsid w:val="00244311"/>
    <w:rsid w:val="002458FC"/>
    <w:rsid w:val="00246010"/>
    <w:rsid w:val="00246B64"/>
    <w:rsid w:val="00250286"/>
    <w:rsid w:val="0025114E"/>
    <w:rsid w:val="002522EE"/>
    <w:rsid w:val="0025231A"/>
    <w:rsid w:val="00252622"/>
    <w:rsid w:val="00252C4E"/>
    <w:rsid w:val="002536F2"/>
    <w:rsid w:val="002539FE"/>
    <w:rsid w:val="00255E12"/>
    <w:rsid w:val="00257C05"/>
    <w:rsid w:val="00261238"/>
    <w:rsid w:val="0026168B"/>
    <w:rsid w:val="00261ED4"/>
    <w:rsid w:val="00263DAC"/>
    <w:rsid w:val="00264559"/>
    <w:rsid w:val="00265A89"/>
    <w:rsid w:val="00266CDE"/>
    <w:rsid w:val="0027206B"/>
    <w:rsid w:val="0027264D"/>
    <w:rsid w:val="00274251"/>
    <w:rsid w:val="002743C7"/>
    <w:rsid w:val="002746CD"/>
    <w:rsid w:val="00275D1F"/>
    <w:rsid w:val="00276107"/>
    <w:rsid w:val="00277120"/>
    <w:rsid w:val="002819F9"/>
    <w:rsid w:val="0028484F"/>
    <w:rsid w:val="00285BF2"/>
    <w:rsid w:val="00285CF7"/>
    <w:rsid w:val="0028732E"/>
    <w:rsid w:val="00290232"/>
    <w:rsid w:val="00291903"/>
    <w:rsid w:val="002946FB"/>
    <w:rsid w:val="00295A53"/>
    <w:rsid w:val="0029655E"/>
    <w:rsid w:val="002A0A54"/>
    <w:rsid w:val="002A1504"/>
    <w:rsid w:val="002A1F04"/>
    <w:rsid w:val="002A3D3D"/>
    <w:rsid w:val="002A4337"/>
    <w:rsid w:val="002A49BE"/>
    <w:rsid w:val="002A51F0"/>
    <w:rsid w:val="002A79A1"/>
    <w:rsid w:val="002B4B96"/>
    <w:rsid w:val="002B79E8"/>
    <w:rsid w:val="002C02E5"/>
    <w:rsid w:val="002C0FA6"/>
    <w:rsid w:val="002C1328"/>
    <w:rsid w:val="002C430E"/>
    <w:rsid w:val="002C4519"/>
    <w:rsid w:val="002C5460"/>
    <w:rsid w:val="002C5C93"/>
    <w:rsid w:val="002D121E"/>
    <w:rsid w:val="002D134B"/>
    <w:rsid w:val="002D31E9"/>
    <w:rsid w:val="002D363F"/>
    <w:rsid w:val="002D3B3F"/>
    <w:rsid w:val="002D5B47"/>
    <w:rsid w:val="002D6BBE"/>
    <w:rsid w:val="002D774C"/>
    <w:rsid w:val="002E073B"/>
    <w:rsid w:val="002E109B"/>
    <w:rsid w:val="002E210A"/>
    <w:rsid w:val="002E4395"/>
    <w:rsid w:val="002E51A8"/>
    <w:rsid w:val="002E694D"/>
    <w:rsid w:val="002E7920"/>
    <w:rsid w:val="002F0DB9"/>
    <w:rsid w:val="002F147F"/>
    <w:rsid w:val="002F51B7"/>
    <w:rsid w:val="002F5BD1"/>
    <w:rsid w:val="002F7303"/>
    <w:rsid w:val="003004E5"/>
    <w:rsid w:val="003005FC"/>
    <w:rsid w:val="00300F1C"/>
    <w:rsid w:val="00302441"/>
    <w:rsid w:val="00303408"/>
    <w:rsid w:val="00303BEA"/>
    <w:rsid w:val="003062C6"/>
    <w:rsid w:val="00307202"/>
    <w:rsid w:val="003121B4"/>
    <w:rsid w:val="00313016"/>
    <w:rsid w:val="0031382B"/>
    <w:rsid w:val="003160E2"/>
    <w:rsid w:val="00316288"/>
    <w:rsid w:val="003177CB"/>
    <w:rsid w:val="00327D2F"/>
    <w:rsid w:val="00330686"/>
    <w:rsid w:val="00333187"/>
    <w:rsid w:val="003345FA"/>
    <w:rsid w:val="003356D2"/>
    <w:rsid w:val="0033641D"/>
    <w:rsid w:val="00336913"/>
    <w:rsid w:val="0034024B"/>
    <w:rsid w:val="003403FA"/>
    <w:rsid w:val="003436E9"/>
    <w:rsid w:val="003477D6"/>
    <w:rsid w:val="0035047C"/>
    <w:rsid w:val="003505B8"/>
    <w:rsid w:val="00351020"/>
    <w:rsid w:val="00351B02"/>
    <w:rsid w:val="00353233"/>
    <w:rsid w:val="00355202"/>
    <w:rsid w:val="00355CCC"/>
    <w:rsid w:val="003601F5"/>
    <w:rsid w:val="00360A97"/>
    <w:rsid w:val="00363F2C"/>
    <w:rsid w:val="00365A29"/>
    <w:rsid w:val="00365A67"/>
    <w:rsid w:val="0036701A"/>
    <w:rsid w:val="0037271A"/>
    <w:rsid w:val="00374913"/>
    <w:rsid w:val="00374A28"/>
    <w:rsid w:val="00374D40"/>
    <w:rsid w:val="00376964"/>
    <w:rsid w:val="00376AAC"/>
    <w:rsid w:val="003809A3"/>
    <w:rsid w:val="00381090"/>
    <w:rsid w:val="00381174"/>
    <w:rsid w:val="00382D1A"/>
    <w:rsid w:val="0038386F"/>
    <w:rsid w:val="003843E1"/>
    <w:rsid w:val="00386DF1"/>
    <w:rsid w:val="00391553"/>
    <w:rsid w:val="00392F93"/>
    <w:rsid w:val="0039383C"/>
    <w:rsid w:val="003944E4"/>
    <w:rsid w:val="003A1B5D"/>
    <w:rsid w:val="003A321E"/>
    <w:rsid w:val="003A3D3D"/>
    <w:rsid w:val="003A49DD"/>
    <w:rsid w:val="003A5893"/>
    <w:rsid w:val="003A62AA"/>
    <w:rsid w:val="003A631A"/>
    <w:rsid w:val="003A7F43"/>
    <w:rsid w:val="003B0ECE"/>
    <w:rsid w:val="003B1944"/>
    <w:rsid w:val="003B426F"/>
    <w:rsid w:val="003B65CE"/>
    <w:rsid w:val="003B68FF"/>
    <w:rsid w:val="003B6B9D"/>
    <w:rsid w:val="003B6CF8"/>
    <w:rsid w:val="003C025C"/>
    <w:rsid w:val="003C0D19"/>
    <w:rsid w:val="003C1824"/>
    <w:rsid w:val="003C2F02"/>
    <w:rsid w:val="003C33AC"/>
    <w:rsid w:val="003C53D5"/>
    <w:rsid w:val="003C54F4"/>
    <w:rsid w:val="003C57CE"/>
    <w:rsid w:val="003C6327"/>
    <w:rsid w:val="003D004D"/>
    <w:rsid w:val="003D157E"/>
    <w:rsid w:val="003D1BF0"/>
    <w:rsid w:val="003D2186"/>
    <w:rsid w:val="003D2ABD"/>
    <w:rsid w:val="003D328B"/>
    <w:rsid w:val="003D475A"/>
    <w:rsid w:val="003D53BA"/>
    <w:rsid w:val="003D5FC8"/>
    <w:rsid w:val="003D7ADF"/>
    <w:rsid w:val="003E0649"/>
    <w:rsid w:val="003E36A0"/>
    <w:rsid w:val="003E3BA8"/>
    <w:rsid w:val="003E3F20"/>
    <w:rsid w:val="003E7D37"/>
    <w:rsid w:val="003F3A6D"/>
    <w:rsid w:val="003F4043"/>
    <w:rsid w:val="003F46B9"/>
    <w:rsid w:val="003F491A"/>
    <w:rsid w:val="003F54FE"/>
    <w:rsid w:val="003F6CEA"/>
    <w:rsid w:val="003F71CE"/>
    <w:rsid w:val="003F78DD"/>
    <w:rsid w:val="00402D59"/>
    <w:rsid w:val="0040523D"/>
    <w:rsid w:val="00406A5F"/>
    <w:rsid w:val="0040708E"/>
    <w:rsid w:val="00407D69"/>
    <w:rsid w:val="0041064C"/>
    <w:rsid w:val="00412F43"/>
    <w:rsid w:val="004133A0"/>
    <w:rsid w:val="00413A6C"/>
    <w:rsid w:val="00413DAC"/>
    <w:rsid w:val="00417149"/>
    <w:rsid w:val="00420747"/>
    <w:rsid w:val="00421CAA"/>
    <w:rsid w:val="00422CF8"/>
    <w:rsid w:val="00426C21"/>
    <w:rsid w:val="004276D3"/>
    <w:rsid w:val="004304C8"/>
    <w:rsid w:val="00435710"/>
    <w:rsid w:val="00437509"/>
    <w:rsid w:val="00441278"/>
    <w:rsid w:val="004431A6"/>
    <w:rsid w:val="00443389"/>
    <w:rsid w:val="0044445E"/>
    <w:rsid w:val="00444769"/>
    <w:rsid w:val="0044585A"/>
    <w:rsid w:val="00451075"/>
    <w:rsid w:val="00454CD1"/>
    <w:rsid w:val="00454CD6"/>
    <w:rsid w:val="0045583D"/>
    <w:rsid w:val="004565BD"/>
    <w:rsid w:val="004575DF"/>
    <w:rsid w:val="00461CF4"/>
    <w:rsid w:val="00463260"/>
    <w:rsid w:val="00463C57"/>
    <w:rsid w:val="004652D4"/>
    <w:rsid w:val="00466589"/>
    <w:rsid w:val="00466BD2"/>
    <w:rsid w:val="004674C8"/>
    <w:rsid w:val="00471951"/>
    <w:rsid w:val="00471D47"/>
    <w:rsid w:val="00475F40"/>
    <w:rsid w:val="0047617E"/>
    <w:rsid w:val="004765C2"/>
    <w:rsid w:val="00477E40"/>
    <w:rsid w:val="00480072"/>
    <w:rsid w:val="00482C43"/>
    <w:rsid w:val="0048379A"/>
    <w:rsid w:val="00487D4B"/>
    <w:rsid w:val="004900C9"/>
    <w:rsid w:val="00491937"/>
    <w:rsid w:val="004923F1"/>
    <w:rsid w:val="0049432F"/>
    <w:rsid w:val="004948FB"/>
    <w:rsid w:val="00496FB5"/>
    <w:rsid w:val="00497D29"/>
    <w:rsid w:val="004A0244"/>
    <w:rsid w:val="004A137C"/>
    <w:rsid w:val="004A2C0C"/>
    <w:rsid w:val="004A3B08"/>
    <w:rsid w:val="004A3DF2"/>
    <w:rsid w:val="004A3EDA"/>
    <w:rsid w:val="004A417C"/>
    <w:rsid w:val="004A5D75"/>
    <w:rsid w:val="004A5D79"/>
    <w:rsid w:val="004A70E7"/>
    <w:rsid w:val="004B0157"/>
    <w:rsid w:val="004B0BDA"/>
    <w:rsid w:val="004B0F44"/>
    <w:rsid w:val="004B1DE4"/>
    <w:rsid w:val="004B3102"/>
    <w:rsid w:val="004B640A"/>
    <w:rsid w:val="004B67C5"/>
    <w:rsid w:val="004B6B80"/>
    <w:rsid w:val="004B7D0C"/>
    <w:rsid w:val="004B7E54"/>
    <w:rsid w:val="004C031C"/>
    <w:rsid w:val="004C1FFA"/>
    <w:rsid w:val="004C3A97"/>
    <w:rsid w:val="004C4C51"/>
    <w:rsid w:val="004D0B98"/>
    <w:rsid w:val="004D14A0"/>
    <w:rsid w:val="004D2156"/>
    <w:rsid w:val="004D31BF"/>
    <w:rsid w:val="004D4567"/>
    <w:rsid w:val="004D4A9B"/>
    <w:rsid w:val="004D5B2A"/>
    <w:rsid w:val="004D6283"/>
    <w:rsid w:val="004D72F9"/>
    <w:rsid w:val="004E1105"/>
    <w:rsid w:val="004E1238"/>
    <w:rsid w:val="004E2E74"/>
    <w:rsid w:val="004E3239"/>
    <w:rsid w:val="004E521B"/>
    <w:rsid w:val="004E62AA"/>
    <w:rsid w:val="004E649B"/>
    <w:rsid w:val="004F0797"/>
    <w:rsid w:val="004F0EFB"/>
    <w:rsid w:val="004F0FFA"/>
    <w:rsid w:val="004F1A8D"/>
    <w:rsid w:val="004F38FF"/>
    <w:rsid w:val="004F39C7"/>
    <w:rsid w:val="004F4E4A"/>
    <w:rsid w:val="004F7ADE"/>
    <w:rsid w:val="00501203"/>
    <w:rsid w:val="00501474"/>
    <w:rsid w:val="00502339"/>
    <w:rsid w:val="005026E1"/>
    <w:rsid w:val="005042D1"/>
    <w:rsid w:val="00505761"/>
    <w:rsid w:val="00507F63"/>
    <w:rsid w:val="00511518"/>
    <w:rsid w:val="005132CF"/>
    <w:rsid w:val="00513761"/>
    <w:rsid w:val="00513C39"/>
    <w:rsid w:val="00513FB6"/>
    <w:rsid w:val="00514857"/>
    <w:rsid w:val="00515507"/>
    <w:rsid w:val="0051608E"/>
    <w:rsid w:val="005168F8"/>
    <w:rsid w:val="00520EB2"/>
    <w:rsid w:val="0052311E"/>
    <w:rsid w:val="00524376"/>
    <w:rsid w:val="00526403"/>
    <w:rsid w:val="00526601"/>
    <w:rsid w:val="005273EA"/>
    <w:rsid w:val="005306FD"/>
    <w:rsid w:val="00531134"/>
    <w:rsid w:val="00531BC5"/>
    <w:rsid w:val="00532D80"/>
    <w:rsid w:val="00533FC3"/>
    <w:rsid w:val="00535AFA"/>
    <w:rsid w:val="00540961"/>
    <w:rsid w:val="00540D30"/>
    <w:rsid w:val="00543026"/>
    <w:rsid w:val="00543EED"/>
    <w:rsid w:val="005451B7"/>
    <w:rsid w:val="0054606A"/>
    <w:rsid w:val="00546FBB"/>
    <w:rsid w:val="00547904"/>
    <w:rsid w:val="00547C5C"/>
    <w:rsid w:val="00547D1F"/>
    <w:rsid w:val="005525C7"/>
    <w:rsid w:val="0055485B"/>
    <w:rsid w:val="00556DA6"/>
    <w:rsid w:val="00557B13"/>
    <w:rsid w:val="00560071"/>
    <w:rsid w:val="00561F20"/>
    <w:rsid w:val="00564540"/>
    <w:rsid w:val="005700F0"/>
    <w:rsid w:val="00570571"/>
    <w:rsid w:val="00572739"/>
    <w:rsid w:val="00572B05"/>
    <w:rsid w:val="00574382"/>
    <w:rsid w:val="00576B9A"/>
    <w:rsid w:val="005802B0"/>
    <w:rsid w:val="0058195A"/>
    <w:rsid w:val="00582D8B"/>
    <w:rsid w:val="0058332E"/>
    <w:rsid w:val="00583872"/>
    <w:rsid w:val="0058419B"/>
    <w:rsid w:val="00586AF5"/>
    <w:rsid w:val="005912FC"/>
    <w:rsid w:val="00591B4D"/>
    <w:rsid w:val="005941D5"/>
    <w:rsid w:val="005948D6"/>
    <w:rsid w:val="005A14CB"/>
    <w:rsid w:val="005A2C30"/>
    <w:rsid w:val="005A45F0"/>
    <w:rsid w:val="005A4A98"/>
    <w:rsid w:val="005A4B85"/>
    <w:rsid w:val="005A505D"/>
    <w:rsid w:val="005A5E37"/>
    <w:rsid w:val="005B0CB8"/>
    <w:rsid w:val="005B180B"/>
    <w:rsid w:val="005B4319"/>
    <w:rsid w:val="005B4F2F"/>
    <w:rsid w:val="005B50F6"/>
    <w:rsid w:val="005B585D"/>
    <w:rsid w:val="005B6FA0"/>
    <w:rsid w:val="005C0AD1"/>
    <w:rsid w:val="005C150F"/>
    <w:rsid w:val="005C18FE"/>
    <w:rsid w:val="005C2A64"/>
    <w:rsid w:val="005C6E11"/>
    <w:rsid w:val="005C7183"/>
    <w:rsid w:val="005C77C5"/>
    <w:rsid w:val="005C7BF6"/>
    <w:rsid w:val="005D1384"/>
    <w:rsid w:val="005D1427"/>
    <w:rsid w:val="005D3CAF"/>
    <w:rsid w:val="005D4221"/>
    <w:rsid w:val="005D4683"/>
    <w:rsid w:val="005D52CD"/>
    <w:rsid w:val="005D555D"/>
    <w:rsid w:val="005D7F30"/>
    <w:rsid w:val="005E124C"/>
    <w:rsid w:val="005E140A"/>
    <w:rsid w:val="005E21FA"/>
    <w:rsid w:val="005E23A8"/>
    <w:rsid w:val="005E41B7"/>
    <w:rsid w:val="005E4A8F"/>
    <w:rsid w:val="005E5089"/>
    <w:rsid w:val="005E50BE"/>
    <w:rsid w:val="005E79FF"/>
    <w:rsid w:val="005F13AE"/>
    <w:rsid w:val="005F2762"/>
    <w:rsid w:val="005F67AB"/>
    <w:rsid w:val="005F7BFD"/>
    <w:rsid w:val="006004BA"/>
    <w:rsid w:val="0060441E"/>
    <w:rsid w:val="00605753"/>
    <w:rsid w:val="00605ABA"/>
    <w:rsid w:val="00607FDE"/>
    <w:rsid w:val="0061282E"/>
    <w:rsid w:val="00615BD0"/>
    <w:rsid w:val="00615E57"/>
    <w:rsid w:val="00620DC6"/>
    <w:rsid w:val="00622499"/>
    <w:rsid w:val="006245D9"/>
    <w:rsid w:val="0063131B"/>
    <w:rsid w:val="00631356"/>
    <w:rsid w:val="00631436"/>
    <w:rsid w:val="00633359"/>
    <w:rsid w:val="0063496F"/>
    <w:rsid w:val="00635923"/>
    <w:rsid w:val="00635FD6"/>
    <w:rsid w:val="006366EE"/>
    <w:rsid w:val="00636C00"/>
    <w:rsid w:val="006376D0"/>
    <w:rsid w:val="006403BA"/>
    <w:rsid w:val="00643CCE"/>
    <w:rsid w:val="006447C5"/>
    <w:rsid w:val="00644E20"/>
    <w:rsid w:val="006454E8"/>
    <w:rsid w:val="0064566C"/>
    <w:rsid w:val="00646160"/>
    <w:rsid w:val="00650295"/>
    <w:rsid w:val="00650723"/>
    <w:rsid w:val="00650910"/>
    <w:rsid w:val="0065165B"/>
    <w:rsid w:val="00651AD5"/>
    <w:rsid w:val="00656F82"/>
    <w:rsid w:val="0066438F"/>
    <w:rsid w:val="00664653"/>
    <w:rsid w:val="00667021"/>
    <w:rsid w:val="00672EB3"/>
    <w:rsid w:val="00672F94"/>
    <w:rsid w:val="00673951"/>
    <w:rsid w:val="00675326"/>
    <w:rsid w:val="006830E1"/>
    <w:rsid w:val="00684BC8"/>
    <w:rsid w:val="00684DCF"/>
    <w:rsid w:val="00684E9D"/>
    <w:rsid w:val="00685B7B"/>
    <w:rsid w:val="00687FF1"/>
    <w:rsid w:val="00690EAC"/>
    <w:rsid w:val="0069171D"/>
    <w:rsid w:val="00693BD0"/>
    <w:rsid w:val="006954E7"/>
    <w:rsid w:val="006963CE"/>
    <w:rsid w:val="006A1647"/>
    <w:rsid w:val="006A279A"/>
    <w:rsid w:val="006A3BC9"/>
    <w:rsid w:val="006A42B6"/>
    <w:rsid w:val="006A51CC"/>
    <w:rsid w:val="006B1E9E"/>
    <w:rsid w:val="006B274D"/>
    <w:rsid w:val="006B2C35"/>
    <w:rsid w:val="006B2E5D"/>
    <w:rsid w:val="006B40E1"/>
    <w:rsid w:val="006C2A91"/>
    <w:rsid w:val="006C3223"/>
    <w:rsid w:val="006C62FC"/>
    <w:rsid w:val="006C6782"/>
    <w:rsid w:val="006C7940"/>
    <w:rsid w:val="006C7B5A"/>
    <w:rsid w:val="006D07D0"/>
    <w:rsid w:val="006D1847"/>
    <w:rsid w:val="006D1B5F"/>
    <w:rsid w:val="006D354D"/>
    <w:rsid w:val="006D4BB1"/>
    <w:rsid w:val="006D581B"/>
    <w:rsid w:val="006D713F"/>
    <w:rsid w:val="006D7CD8"/>
    <w:rsid w:val="006E0255"/>
    <w:rsid w:val="006E66F0"/>
    <w:rsid w:val="006F0AFA"/>
    <w:rsid w:val="006F2162"/>
    <w:rsid w:val="006F3647"/>
    <w:rsid w:val="006F5D63"/>
    <w:rsid w:val="006F7CF4"/>
    <w:rsid w:val="0070133F"/>
    <w:rsid w:val="00701373"/>
    <w:rsid w:val="00701F5A"/>
    <w:rsid w:val="00703705"/>
    <w:rsid w:val="00703790"/>
    <w:rsid w:val="00703905"/>
    <w:rsid w:val="00706234"/>
    <w:rsid w:val="00706850"/>
    <w:rsid w:val="00706E6C"/>
    <w:rsid w:val="0070749B"/>
    <w:rsid w:val="007107AA"/>
    <w:rsid w:val="00712074"/>
    <w:rsid w:val="0071512C"/>
    <w:rsid w:val="007160DB"/>
    <w:rsid w:val="007179C6"/>
    <w:rsid w:val="00720BBE"/>
    <w:rsid w:val="00721221"/>
    <w:rsid w:val="00723839"/>
    <w:rsid w:val="00723AD8"/>
    <w:rsid w:val="00724A7C"/>
    <w:rsid w:val="00725A44"/>
    <w:rsid w:val="00727205"/>
    <w:rsid w:val="00730E9F"/>
    <w:rsid w:val="00731948"/>
    <w:rsid w:val="00732505"/>
    <w:rsid w:val="00732770"/>
    <w:rsid w:val="0073442F"/>
    <w:rsid w:val="00740541"/>
    <w:rsid w:val="00740764"/>
    <w:rsid w:val="00741CAE"/>
    <w:rsid w:val="0074261E"/>
    <w:rsid w:val="00752077"/>
    <w:rsid w:val="007528DB"/>
    <w:rsid w:val="007535AA"/>
    <w:rsid w:val="007567B3"/>
    <w:rsid w:val="0076135C"/>
    <w:rsid w:val="00763548"/>
    <w:rsid w:val="00765162"/>
    <w:rsid w:val="00765666"/>
    <w:rsid w:val="00765E6A"/>
    <w:rsid w:val="00766A2B"/>
    <w:rsid w:val="00766CFC"/>
    <w:rsid w:val="0077181E"/>
    <w:rsid w:val="007739F3"/>
    <w:rsid w:val="0077479C"/>
    <w:rsid w:val="00776526"/>
    <w:rsid w:val="007766FD"/>
    <w:rsid w:val="00781AEC"/>
    <w:rsid w:val="00782D88"/>
    <w:rsid w:val="0078422D"/>
    <w:rsid w:val="00786635"/>
    <w:rsid w:val="007874C9"/>
    <w:rsid w:val="00787617"/>
    <w:rsid w:val="00792C4E"/>
    <w:rsid w:val="00793679"/>
    <w:rsid w:val="00794059"/>
    <w:rsid w:val="00796322"/>
    <w:rsid w:val="007970DB"/>
    <w:rsid w:val="00797DC6"/>
    <w:rsid w:val="00797E38"/>
    <w:rsid w:val="007A08BE"/>
    <w:rsid w:val="007A1872"/>
    <w:rsid w:val="007A3172"/>
    <w:rsid w:val="007A3C17"/>
    <w:rsid w:val="007A4047"/>
    <w:rsid w:val="007A4747"/>
    <w:rsid w:val="007A543F"/>
    <w:rsid w:val="007A7390"/>
    <w:rsid w:val="007B0971"/>
    <w:rsid w:val="007B14DC"/>
    <w:rsid w:val="007B1BC4"/>
    <w:rsid w:val="007B371C"/>
    <w:rsid w:val="007B46FF"/>
    <w:rsid w:val="007B5742"/>
    <w:rsid w:val="007B5A3E"/>
    <w:rsid w:val="007C0B47"/>
    <w:rsid w:val="007C102C"/>
    <w:rsid w:val="007C6712"/>
    <w:rsid w:val="007C77D0"/>
    <w:rsid w:val="007C7F9A"/>
    <w:rsid w:val="007D4804"/>
    <w:rsid w:val="007D531A"/>
    <w:rsid w:val="007D7172"/>
    <w:rsid w:val="007E1A0D"/>
    <w:rsid w:val="007E43E4"/>
    <w:rsid w:val="007E5969"/>
    <w:rsid w:val="007E7E6C"/>
    <w:rsid w:val="007F0259"/>
    <w:rsid w:val="007F2AAE"/>
    <w:rsid w:val="007F5494"/>
    <w:rsid w:val="007F5698"/>
    <w:rsid w:val="007F6A69"/>
    <w:rsid w:val="007F718F"/>
    <w:rsid w:val="007F7EA8"/>
    <w:rsid w:val="00803517"/>
    <w:rsid w:val="00804069"/>
    <w:rsid w:val="008055BC"/>
    <w:rsid w:val="00805842"/>
    <w:rsid w:val="00806F7D"/>
    <w:rsid w:val="00807A50"/>
    <w:rsid w:val="008107F8"/>
    <w:rsid w:val="00810AAF"/>
    <w:rsid w:val="00812DA2"/>
    <w:rsid w:val="00813B99"/>
    <w:rsid w:val="00813C2A"/>
    <w:rsid w:val="00816714"/>
    <w:rsid w:val="0082042F"/>
    <w:rsid w:val="008210D5"/>
    <w:rsid w:val="008220D4"/>
    <w:rsid w:val="00823406"/>
    <w:rsid w:val="00823DF9"/>
    <w:rsid w:val="0082648F"/>
    <w:rsid w:val="008322B8"/>
    <w:rsid w:val="00832DCE"/>
    <w:rsid w:val="0083698A"/>
    <w:rsid w:val="00840C7E"/>
    <w:rsid w:val="008415F1"/>
    <w:rsid w:val="00844574"/>
    <w:rsid w:val="00846F87"/>
    <w:rsid w:val="00847C34"/>
    <w:rsid w:val="00850567"/>
    <w:rsid w:val="00851AB4"/>
    <w:rsid w:val="00852D33"/>
    <w:rsid w:val="008552B4"/>
    <w:rsid w:val="00857089"/>
    <w:rsid w:val="00857999"/>
    <w:rsid w:val="0086096F"/>
    <w:rsid w:val="00860CFD"/>
    <w:rsid w:val="008619B7"/>
    <w:rsid w:val="0086273A"/>
    <w:rsid w:val="008628E0"/>
    <w:rsid w:val="00864736"/>
    <w:rsid w:val="00864D04"/>
    <w:rsid w:val="0086650F"/>
    <w:rsid w:val="00871C95"/>
    <w:rsid w:val="0087255F"/>
    <w:rsid w:val="00874AFA"/>
    <w:rsid w:val="00874CAE"/>
    <w:rsid w:val="00875BE4"/>
    <w:rsid w:val="00876C59"/>
    <w:rsid w:val="008776DF"/>
    <w:rsid w:val="00881AEB"/>
    <w:rsid w:val="00882984"/>
    <w:rsid w:val="008852A0"/>
    <w:rsid w:val="008853AE"/>
    <w:rsid w:val="00887657"/>
    <w:rsid w:val="00887F30"/>
    <w:rsid w:val="00892A57"/>
    <w:rsid w:val="00893BA3"/>
    <w:rsid w:val="00893BEB"/>
    <w:rsid w:val="008941D0"/>
    <w:rsid w:val="008952E2"/>
    <w:rsid w:val="008978ED"/>
    <w:rsid w:val="008A05C9"/>
    <w:rsid w:val="008A0A28"/>
    <w:rsid w:val="008A1680"/>
    <w:rsid w:val="008A5464"/>
    <w:rsid w:val="008A7107"/>
    <w:rsid w:val="008B0A80"/>
    <w:rsid w:val="008B2842"/>
    <w:rsid w:val="008B7A62"/>
    <w:rsid w:val="008C3FAB"/>
    <w:rsid w:val="008C41FE"/>
    <w:rsid w:val="008C475A"/>
    <w:rsid w:val="008C52DD"/>
    <w:rsid w:val="008C7CCB"/>
    <w:rsid w:val="008D0416"/>
    <w:rsid w:val="008D07B6"/>
    <w:rsid w:val="008D272E"/>
    <w:rsid w:val="008D3793"/>
    <w:rsid w:val="008D57F1"/>
    <w:rsid w:val="008D6C14"/>
    <w:rsid w:val="008E0D81"/>
    <w:rsid w:val="008E1ACD"/>
    <w:rsid w:val="008E347D"/>
    <w:rsid w:val="008E5389"/>
    <w:rsid w:val="008E7D2D"/>
    <w:rsid w:val="008F0A59"/>
    <w:rsid w:val="008F125B"/>
    <w:rsid w:val="008F1897"/>
    <w:rsid w:val="008F21C9"/>
    <w:rsid w:val="008F229B"/>
    <w:rsid w:val="008F2F27"/>
    <w:rsid w:val="008F5399"/>
    <w:rsid w:val="008F7336"/>
    <w:rsid w:val="00900804"/>
    <w:rsid w:val="00900BD4"/>
    <w:rsid w:val="0090101B"/>
    <w:rsid w:val="0090135E"/>
    <w:rsid w:val="00902DF8"/>
    <w:rsid w:val="0090363F"/>
    <w:rsid w:val="00911B85"/>
    <w:rsid w:val="00914201"/>
    <w:rsid w:val="00915DF2"/>
    <w:rsid w:val="00916A54"/>
    <w:rsid w:val="00917169"/>
    <w:rsid w:val="00920671"/>
    <w:rsid w:val="009236B0"/>
    <w:rsid w:val="0092405C"/>
    <w:rsid w:val="009243DC"/>
    <w:rsid w:val="00924952"/>
    <w:rsid w:val="0092591E"/>
    <w:rsid w:val="0093009B"/>
    <w:rsid w:val="00930860"/>
    <w:rsid w:val="00930915"/>
    <w:rsid w:val="00930B4E"/>
    <w:rsid w:val="0093190C"/>
    <w:rsid w:val="00932895"/>
    <w:rsid w:val="009331D2"/>
    <w:rsid w:val="0094048A"/>
    <w:rsid w:val="009408E4"/>
    <w:rsid w:val="009460AE"/>
    <w:rsid w:val="009515D7"/>
    <w:rsid w:val="00952EE4"/>
    <w:rsid w:val="009532E2"/>
    <w:rsid w:val="00953EDF"/>
    <w:rsid w:val="00955432"/>
    <w:rsid w:val="00957D5F"/>
    <w:rsid w:val="00961076"/>
    <w:rsid w:val="0096234C"/>
    <w:rsid w:val="0096279A"/>
    <w:rsid w:val="009658D9"/>
    <w:rsid w:val="009658F6"/>
    <w:rsid w:val="00966B31"/>
    <w:rsid w:val="00966DDB"/>
    <w:rsid w:val="0096723C"/>
    <w:rsid w:val="009711FE"/>
    <w:rsid w:val="00971B29"/>
    <w:rsid w:val="00972B77"/>
    <w:rsid w:val="00972C56"/>
    <w:rsid w:val="00973CE0"/>
    <w:rsid w:val="0097792E"/>
    <w:rsid w:val="00980C0C"/>
    <w:rsid w:val="0098357C"/>
    <w:rsid w:val="00986429"/>
    <w:rsid w:val="00991559"/>
    <w:rsid w:val="00991704"/>
    <w:rsid w:val="00991DB9"/>
    <w:rsid w:val="00992AE0"/>
    <w:rsid w:val="0099581A"/>
    <w:rsid w:val="0099697F"/>
    <w:rsid w:val="009977C0"/>
    <w:rsid w:val="009A1B89"/>
    <w:rsid w:val="009A21D3"/>
    <w:rsid w:val="009A3943"/>
    <w:rsid w:val="009A45B6"/>
    <w:rsid w:val="009A6298"/>
    <w:rsid w:val="009A762B"/>
    <w:rsid w:val="009B1AD4"/>
    <w:rsid w:val="009B326A"/>
    <w:rsid w:val="009B43AC"/>
    <w:rsid w:val="009B507E"/>
    <w:rsid w:val="009C2CFE"/>
    <w:rsid w:val="009C31F0"/>
    <w:rsid w:val="009C3555"/>
    <w:rsid w:val="009C3E54"/>
    <w:rsid w:val="009D09FF"/>
    <w:rsid w:val="009D1037"/>
    <w:rsid w:val="009D2C1D"/>
    <w:rsid w:val="009D6790"/>
    <w:rsid w:val="009E1198"/>
    <w:rsid w:val="009E438F"/>
    <w:rsid w:val="009E4C28"/>
    <w:rsid w:val="009E5754"/>
    <w:rsid w:val="009E587E"/>
    <w:rsid w:val="009E5DB4"/>
    <w:rsid w:val="009E62A3"/>
    <w:rsid w:val="009E6DA8"/>
    <w:rsid w:val="009F2D34"/>
    <w:rsid w:val="009F3B25"/>
    <w:rsid w:val="009F3BDB"/>
    <w:rsid w:val="009F49A0"/>
    <w:rsid w:val="009F4CCC"/>
    <w:rsid w:val="009F5E0E"/>
    <w:rsid w:val="009F6A06"/>
    <w:rsid w:val="009F6A77"/>
    <w:rsid w:val="009F7167"/>
    <w:rsid w:val="00A02545"/>
    <w:rsid w:val="00A03A54"/>
    <w:rsid w:val="00A03BCB"/>
    <w:rsid w:val="00A05370"/>
    <w:rsid w:val="00A06F8C"/>
    <w:rsid w:val="00A07B90"/>
    <w:rsid w:val="00A11C62"/>
    <w:rsid w:val="00A12037"/>
    <w:rsid w:val="00A12DA4"/>
    <w:rsid w:val="00A12E74"/>
    <w:rsid w:val="00A1501B"/>
    <w:rsid w:val="00A15B1E"/>
    <w:rsid w:val="00A15DEF"/>
    <w:rsid w:val="00A1652F"/>
    <w:rsid w:val="00A2081F"/>
    <w:rsid w:val="00A21331"/>
    <w:rsid w:val="00A2295E"/>
    <w:rsid w:val="00A22F50"/>
    <w:rsid w:val="00A241A3"/>
    <w:rsid w:val="00A304A3"/>
    <w:rsid w:val="00A3142A"/>
    <w:rsid w:val="00A31A4D"/>
    <w:rsid w:val="00A31F3B"/>
    <w:rsid w:val="00A3288D"/>
    <w:rsid w:val="00A34FA4"/>
    <w:rsid w:val="00A35EDB"/>
    <w:rsid w:val="00A363F3"/>
    <w:rsid w:val="00A41716"/>
    <w:rsid w:val="00A426E1"/>
    <w:rsid w:val="00A4298E"/>
    <w:rsid w:val="00A42C85"/>
    <w:rsid w:val="00A4422C"/>
    <w:rsid w:val="00A450C5"/>
    <w:rsid w:val="00A4681D"/>
    <w:rsid w:val="00A47DE4"/>
    <w:rsid w:val="00A503A8"/>
    <w:rsid w:val="00A517CD"/>
    <w:rsid w:val="00A51E3E"/>
    <w:rsid w:val="00A5250A"/>
    <w:rsid w:val="00A526B6"/>
    <w:rsid w:val="00A55F03"/>
    <w:rsid w:val="00A56120"/>
    <w:rsid w:val="00A5657D"/>
    <w:rsid w:val="00A568B1"/>
    <w:rsid w:val="00A57F06"/>
    <w:rsid w:val="00A600A8"/>
    <w:rsid w:val="00A60122"/>
    <w:rsid w:val="00A6265E"/>
    <w:rsid w:val="00A62E0C"/>
    <w:rsid w:val="00A6412E"/>
    <w:rsid w:val="00A645FF"/>
    <w:rsid w:val="00A714E9"/>
    <w:rsid w:val="00A715BD"/>
    <w:rsid w:val="00A73602"/>
    <w:rsid w:val="00A7467B"/>
    <w:rsid w:val="00A75440"/>
    <w:rsid w:val="00A81F43"/>
    <w:rsid w:val="00A82F1F"/>
    <w:rsid w:val="00A857DE"/>
    <w:rsid w:val="00A87BE4"/>
    <w:rsid w:val="00A92363"/>
    <w:rsid w:val="00A94CFB"/>
    <w:rsid w:val="00A95B63"/>
    <w:rsid w:val="00A962AF"/>
    <w:rsid w:val="00A965B2"/>
    <w:rsid w:val="00AA00B5"/>
    <w:rsid w:val="00AA0D71"/>
    <w:rsid w:val="00AA12BF"/>
    <w:rsid w:val="00AA38D5"/>
    <w:rsid w:val="00AA43E5"/>
    <w:rsid w:val="00AA48E2"/>
    <w:rsid w:val="00AA60F5"/>
    <w:rsid w:val="00AA62D4"/>
    <w:rsid w:val="00AA68A8"/>
    <w:rsid w:val="00AA7AA6"/>
    <w:rsid w:val="00AA7C2A"/>
    <w:rsid w:val="00AB2423"/>
    <w:rsid w:val="00AB27B1"/>
    <w:rsid w:val="00AB3561"/>
    <w:rsid w:val="00AB4BFF"/>
    <w:rsid w:val="00AB69DE"/>
    <w:rsid w:val="00AB6ED5"/>
    <w:rsid w:val="00AB7256"/>
    <w:rsid w:val="00AC1468"/>
    <w:rsid w:val="00AC30FB"/>
    <w:rsid w:val="00AC3375"/>
    <w:rsid w:val="00AC3D2A"/>
    <w:rsid w:val="00AC548B"/>
    <w:rsid w:val="00AC6C1A"/>
    <w:rsid w:val="00AD0A23"/>
    <w:rsid w:val="00AD730A"/>
    <w:rsid w:val="00AD7A48"/>
    <w:rsid w:val="00AE0C37"/>
    <w:rsid w:val="00AE0C98"/>
    <w:rsid w:val="00AE1B8D"/>
    <w:rsid w:val="00AE29E9"/>
    <w:rsid w:val="00AE33D9"/>
    <w:rsid w:val="00AE4905"/>
    <w:rsid w:val="00AE4A5D"/>
    <w:rsid w:val="00AE5B44"/>
    <w:rsid w:val="00AE5D89"/>
    <w:rsid w:val="00AF495A"/>
    <w:rsid w:val="00AF51DE"/>
    <w:rsid w:val="00B006C3"/>
    <w:rsid w:val="00B0090E"/>
    <w:rsid w:val="00B01E56"/>
    <w:rsid w:val="00B02A3F"/>
    <w:rsid w:val="00B039D4"/>
    <w:rsid w:val="00B04E47"/>
    <w:rsid w:val="00B06820"/>
    <w:rsid w:val="00B07044"/>
    <w:rsid w:val="00B070AF"/>
    <w:rsid w:val="00B07323"/>
    <w:rsid w:val="00B07DEE"/>
    <w:rsid w:val="00B108B6"/>
    <w:rsid w:val="00B1187B"/>
    <w:rsid w:val="00B13F48"/>
    <w:rsid w:val="00B154CC"/>
    <w:rsid w:val="00B15CDC"/>
    <w:rsid w:val="00B16582"/>
    <w:rsid w:val="00B17CFE"/>
    <w:rsid w:val="00B2015B"/>
    <w:rsid w:val="00B2029F"/>
    <w:rsid w:val="00B20A83"/>
    <w:rsid w:val="00B212CA"/>
    <w:rsid w:val="00B22752"/>
    <w:rsid w:val="00B22CBA"/>
    <w:rsid w:val="00B23658"/>
    <w:rsid w:val="00B2394B"/>
    <w:rsid w:val="00B23AE0"/>
    <w:rsid w:val="00B25B72"/>
    <w:rsid w:val="00B3176D"/>
    <w:rsid w:val="00B32817"/>
    <w:rsid w:val="00B333AB"/>
    <w:rsid w:val="00B336BA"/>
    <w:rsid w:val="00B353AD"/>
    <w:rsid w:val="00B36798"/>
    <w:rsid w:val="00B40C41"/>
    <w:rsid w:val="00B43533"/>
    <w:rsid w:val="00B4363D"/>
    <w:rsid w:val="00B43D4E"/>
    <w:rsid w:val="00B4439F"/>
    <w:rsid w:val="00B4454B"/>
    <w:rsid w:val="00B509DA"/>
    <w:rsid w:val="00B52879"/>
    <w:rsid w:val="00B52A94"/>
    <w:rsid w:val="00B531A3"/>
    <w:rsid w:val="00B53555"/>
    <w:rsid w:val="00B5419A"/>
    <w:rsid w:val="00B54629"/>
    <w:rsid w:val="00B55E13"/>
    <w:rsid w:val="00B56506"/>
    <w:rsid w:val="00B56F26"/>
    <w:rsid w:val="00B572D2"/>
    <w:rsid w:val="00B57EB4"/>
    <w:rsid w:val="00B616B0"/>
    <w:rsid w:val="00B652C7"/>
    <w:rsid w:val="00B66A91"/>
    <w:rsid w:val="00B67959"/>
    <w:rsid w:val="00B67D50"/>
    <w:rsid w:val="00B7049B"/>
    <w:rsid w:val="00B722D9"/>
    <w:rsid w:val="00B7342F"/>
    <w:rsid w:val="00B76670"/>
    <w:rsid w:val="00B76E9F"/>
    <w:rsid w:val="00B77A6B"/>
    <w:rsid w:val="00B8153F"/>
    <w:rsid w:val="00B8165C"/>
    <w:rsid w:val="00B818B6"/>
    <w:rsid w:val="00B83E63"/>
    <w:rsid w:val="00B84543"/>
    <w:rsid w:val="00B853CE"/>
    <w:rsid w:val="00B87B28"/>
    <w:rsid w:val="00B901C7"/>
    <w:rsid w:val="00B90554"/>
    <w:rsid w:val="00B9142F"/>
    <w:rsid w:val="00B914B4"/>
    <w:rsid w:val="00B92F24"/>
    <w:rsid w:val="00B9371D"/>
    <w:rsid w:val="00B93792"/>
    <w:rsid w:val="00B93F4F"/>
    <w:rsid w:val="00B9565B"/>
    <w:rsid w:val="00B96821"/>
    <w:rsid w:val="00B968EC"/>
    <w:rsid w:val="00B96A00"/>
    <w:rsid w:val="00BA199C"/>
    <w:rsid w:val="00BA2069"/>
    <w:rsid w:val="00BA2AD0"/>
    <w:rsid w:val="00BA3060"/>
    <w:rsid w:val="00BA3388"/>
    <w:rsid w:val="00BB0401"/>
    <w:rsid w:val="00BB539C"/>
    <w:rsid w:val="00BB7696"/>
    <w:rsid w:val="00BC0604"/>
    <w:rsid w:val="00BC1F20"/>
    <w:rsid w:val="00BC2444"/>
    <w:rsid w:val="00BC3243"/>
    <w:rsid w:val="00BC3C4C"/>
    <w:rsid w:val="00BC3F08"/>
    <w:rsid w:val="00BC4CFD"/>
    <w:rsid w:val="00BD0DAA"/>
    <w:rsid w:val="00BD2359"/>
    <w:rsid w:val="00BD33EB"/>
    <w:rsid w:val="00BD59F3"/>
    <w:rsid w:val="00BD6E9D"/>
    <w:rsid w:val="00BD7EC2"/>
    <w:rsid w:val="00BE2B1D"/>
    <w:rsid w:val="00BE2E17"/>
    <w:rsid w:val="00BE50E7"/>
    <w:rsid w:val="00BE73D8"/>
    <w:rsid w:val="00BF1D72"/>
    <w:rsid w:val="00BF208A"/>
    <w:rsid w:val="00BF334B"/>
    <w:rsid w:val="00BF395E"/>
    <w:rsid w:val="00BF4A22"/>
    <w:rsid w:val="00BF5773"/>
    <w:rsid w:val="00BF5C6B"/>
    <w:rsid w:val="00C000E7"/>
    <w:rsid w:val="00C00196"/>
    <w:rsid w:val="00C00BBA"/>
    <w:rsid w:val="00C0207F"/>
    <w:rsid w:val="00C024BC"/>
    <w:rsid w:val="00C032EF"/>
    <w:rsid w:val="00C0648B"/>
    <w:rsid w:val="00C1172F"/>
    <w:rsid w:val="00C138A1"/>
    <w:rsid w:val="00C13F19"/>
    <w:rsid w:val="00C14C9C"/>
    <w:rsid w:val="00C15258"/>
    <w:rsid w:val="00C15B1F"/>
    <w:rsid w:val="00C178BD"/>
    <w:rsid w:val="00C179DB"/>
    <w:rsid w:val="00C2019B"/>
    <w:rsid w:val="00C2143F"/>
    <w:rsid w:val="00C22446"/>
    <w:rsid w:val="00C22F7A"/>
    <w:rsid w:val="00C241D7"/>
    <w:rsid w:val="00C26D36"/>
    <w:rsid w:val="00C270D2"/>
    <w:rsid w:val="00C32016"/>
    <w:rsid w:val="00C32943"/>
    <w:rsid w:val="00C32FEA"/>
    <w:rsid w:val="00C33CFF"/>
    <w:rsid w:val="00C3441C"/>
    <w:rsid w:val="00C3500E"/>
    <w:rsid w:val="00C40BD6"/>
    <w:rsid w:val="00C41F0E"/>
    <w:rsid w:val="00C432CA"/>
    <w:rsid w:val="00C4350E"/>
    <w:rsid w:val="00C4410F"/>
    <w:rsid w:val="00C44B86"/>
    <w:rsid w:val="00C45843"/>
    <w:rsid w:val="00C464CA"/>
    <w:rsid w:val="00C46F5B"/>
    <w:rsid w:val="00C47D8F"/>
    <w:rsid w:val="00C50434"/>
    <w:rsid w:val="00C51565"/>
    <w:rsid w:val="00C5190E"/>
    <w:rsid w:val="00C51EC1"/>
    <w:rsid w:val="00C52B8D"/>
    <w:rsid w:val="00C5355B"/>
    <w:rsid w:val="00C54DC3"/>
    <w:rsid w:val="00C55D32"/>
    <w:rsid w:val="00C56473"/>
    <w:rsid w:val="00C61D67"/>
    <w:rsid w:val="00C6340D"/>
    <w:rsid w:val="00C63779"/>
    <w:rsid w:val="00C63AA9"/>
    <w:rsid w:val="00C651DE"/>
    <w:rsid w:val="00C65F47"/>
    <w:rsid w:val="00C664DE"/>
    <w:rsid w:val="00C66E8F"/>
    <w:rsid w:val="00C67920"/>
    <w:rsid w:val="00C70928"/>
    <w:rsid w:val="00C73B3D"/>
    <w:rsid w:val="00C77F35"/>
    <w:rsid w:val="00C8000E"/>
    <w:rsid w:val="00C80363"/>
    <w:rsid w:val="00C8090C"/>
    <w:rsid w:val="00C81640"/>
    <w:rsid w:val="00C858EF"/>
    <w:rsid w:val="00C8608F"/>
    <w:rsid w:val="00C86529"/>
    <w:rsid w:val="00C8790D"/>
    <w:rsid w:val="00C910A5"/>
    <w:rsid w:val="00C917FD"/>
    <w:rsid w:val="00C91F54"/>
    <w:rsid w:val="00C920F6"/>
    <w:rsid w:val="00C93D9B"/>
    <w:rsid w:val="00C941B4"/>
    <w:rsid w:val="00C9487F"/>
    <w:rsid w:val="00C97BFA"/>
    <w:rsid w:val="00CA086A"/>
    <w:rsid w:val="00CA229A"/>
    <w:rsid w:val="00CA2862"/>
    <w:rsid w:val="00CA3336"/>
    <w:rsid w:val="00CA471D"/>
    <w:rsid w:val="00CA6C35"/>
    <w:rsid w:val="00CB16D8"/>
    <w:rsid w:val="00CB1FAE"/>
    <w:rsid w:val="00CB3203"/>
    <w:rsid w:val="00CB5C76"/>
    <w:rsid w:val="00CB7090"/>
    <w:rsid w:val="00CC1CC3"/>
    <w:rsid w:val="00CC1E6B"/>
    <w:rsid w:val="00CC29FD"/>
    <w:rsid w:val="00CC3166"/>
    <w:rsid w:val="00CC593C"/>
    <w:rsid w:val="00CC74C1"/>
    <w:rsid w:val="00CD154E"/>
    <w:rsid w:val="00CD15AB"/>
    <w:rsid w:val="00CD28D4"/>
    <w:rsid w:val="00CD3121"/>
    <w:rsid w:val="00CD530E"/>
    <w:rsid w:val="00CD5914"/>
    <w:rsid w:val="00CD7E5E"/>
    <w:rsid w:val="00CE305F"/>
    <w:rsid w:val="00CE3FE7"/>
    <w:rsid w:val="00CE4118"/>
    <w:rsid w:val="00CE5064"/>
    <w:rsid w:val="00CE5165"/>
    <w:rsid w:val="00CE594C"/>
    <w:rsid w:val="00CE5EF5"/>
    <w:rsid w:val="00CE6C85"/>
    <w:rsid w:val="00CF43CC"/>
    <w:rsid w:val="00D00536"/>
    <w:rsid w:val="00D0221B"/>
    <w:rsid w:val="00D04025"/>
    <w:rsid w:val="00D05185"/>
    <w:rsid w:val="00D0767B"/>
    <w:rsid w:val="00D10999"/>
    <w:rsid w:val="00D2042C"/>
    <w:rsid w:val="00D206BE"/>
    <w:rsid w:val="00D20D31"/>
    <w:rsid w:val="00D20DE4"/>
    <w:rsid w:val="00D2265A"/>
    <w:rsid w:val="00D22694"/>
    <w:rsid w:val="00D228AC"/>
    <w:rsid w:val="00D23040"/>
    <w:rsid w:val="00D23849"/>
    <w:rsid w:val="00D23957"/>
    <w:rsid w:val="00D24447"/>
    <w:rsid w:val="00D2521B"/>
    <w:rsid w:val="00D257E3"/>
    <w:rsid w:val="00D25939"/>
    <w:rsid w:val="00D276D3"/>
    <w:rsid w:val="00D30949"/>
    <w:rsid w:val="00D3395A"/>
    <w:rsid w:val="00D346A5"/>
    <w:rsid w:val="00D35229"/>
    <w:rsid w:val="00D35EC5"/>
    <w:rsid w:val="00D36B96"/>
    <w:rsid w:val="00D3797A"/>
    <w:rsid w:val="00D41E8F"/>
    <w:rsid w:val="00D425AB"/>
    <w:rsid w:val="00D429CB"/>
    <w:rsid w:val="00D43664"/>
    <w:rsid w:val="00D43BD8"/>
    <w:rsid w:val="00D45098"/>
    <w:rsid w:val="00D452E3"/>
    <w:rsid w:val="00D50594"/>
    <w:rsid w:val="00D508F0"/>
    <w:rsid w:val="00D51CD2"/>
    <w:rsid w:val="00D528E2"/>
    <w:rsid w:val="00D54BCA"/>
    <w:rsid w:val="00D5500E"/>
    <w:rsid w:val="00D604C5"/>
    <w:rsid w:val="00D60D56"/>
    <w:rsid w:val="00D61240"/>
    <w:rsid w:val="00D61F70"/>
    <w:rsid w:val="00D62C17"/>
    <w:rsid w:val="00D62D7B"/>
    <w:rsid w:val="00D641CF"/>
    <w:rsid w:val="00D64D56"/>
    <w:rsid w:val="00D64E0A"/>
    <w:rsid w:val="00D65ABC"/>
    <w:rsid w:val="00D7161B"/>
    <w:rsid w:val="00D7224A"/>
    <w:rsid w:val="00D73AC8"/>
    <w:rsid w:val="00D75DC6"/>
    <w:rsid w:val="00D7600D"/>
    <w:rsid w:val="00D81DDE"/>
    <w:rsid w:val="00D81F9D"/>
    <w:rsid w:val="00D827BD"/>
    <w:rsid w:val="00D83BBC"/>
    <w:rsid w:val="00D84E65"/>
    <w:rsid w:val="00D85663"/>
    <w:rsid w:val="00D85CB9"/>
    <w:rsid w:val="00D9223F"/>
    <w:rsid w:val="00D930C6"/>
    <w:rsid w:val="00D93500"/>
    <w:rsid w:val="00D93662"/>
    <w:rsid w:val="00D9438E"/>
    <w:rsid w:val="00DA2E52"/>
    <w:rsid w:val="00DA37B5"/>
    <w:rsid w:val="00DA5622"/>
    <w:rsid w:val="00DA6CEC"/>
    <w:rsid w:val="00DB0007"/>
    <w:rsid w:val="00DB5521"/>
    <w:rsid w:val="00DB6452"/>
    <w:rsid w:val="00DB751A"/>
    <w:rsid w:val="00DC3DD6"/>
    <w:rsid w:val="00DC49AE"/>
    <w:rsid w:val="00DC4D4F"/>
    <w:rsid w:val="00DC55E9"/>
    <w:rsid w:val="00DD008D"/>
    <w:rsid w:val="00DD1081"/>
    <w:rsid w:val="00DD1942"/>
    <w:rsid w:val="00DD6580"/>
    <w:rsid w:val="00DE151F"/>
    <w:rsid w:val="00DE2530"/>
    <w:rsid w:val="00DE3A97"/>
    <w:rsid w:val="00DE5B9D"/>
    <w:rsid w:val="00DE60AB"/>
    <w:rsid w:val="00DE63CA"/>
    <w:rsid w:val="00DE6F63"/>
    <w:rsid w:val="00DE7448"/>
    <w:rsid w:val="00DE7903"/>
    <w:rsid w:val="00DF050A"/>
    <w:rsid w:val="00DF17A3"/>
    <w:rsid w:val="00DF437C"/>
    <w:rsid w:val="00DF5380"/>
    <w:rsid w:val="00E00B55"/>
    <w:rsid w:val="00E07ADA"/>
    <w:rsid w:val="00E110C5"/>
    <w:rsid w:val="00E11496"/>
    <w:rsid w:val="00E13DA0"/>
    <w:rsid w:val="00E15031"/>
    <w:rsid w:val="00E15548"/>
    <w:rsid w:val="00E158E0"/>
    <w:rsid w:val="00E15DDA"/>
    <w:rsid w:val="00E1661A"/>
    <w:rsid w:val="00E1693F"/>
    <w:rsid w:val="00E20611"/>
    <w:rsid w:val="00E215C4"/>
    <w:rsid w:val="00E21F51"/>
    <w:rsid w:val="00E23432"/>
    <w:rsid w:val="00E23539"/>
    <w:rsid w:val="00E25410"/>
    <w:rsid w:val="00E25423"/>
    <w:rsid w:val="00E25722"/>
    <w:rsid w:val="00E25F11"/>
    <w:rsid w:val="00E26A7D"/>
    <w:rsid w:val="00E27045"/>
    <w:rsid w:val="00E27BAC"/>
    <w:rsid w:val="00E310EF"/>
    <w:rsid w:val="00E31C6B"/>
    <w:rsid w:val="00E33A1F"/>
    <w:rsid w:val="00E354A0"/>
    <w:rsid w:val="00E412D4"/>
    <w:rsid w:val="00E41700"/>
    <w:rsid w:val="00E4183A"/>
    <w:rsid w:val="00E41E2F"/>
    <w:rsid w:val="00E43247"/>
    <w:rsid w:val="00E45AC9"/>
    <w:rsid w:val="00E51E07"/>
    <w:rsid w:val="00E52787"/>
    <w:rsid w:val="00E527C6"/>
    <w:rsid w:val="00E53487"/>
    <w:rsid w:val="00E53C4B"/>
    <w:rsid w:val="00E54127"/>
    <w:rsid w:val="00E55378"/>
    <w:rsid w:val="00E558F7"/>
    <w:rsid w:val="00E569D6"/>
    <w:rsid w:val="00E56E08"/>
    <w:rsid w:val="00E57321"/>
    <w:rsid w:val="00E606A3"/>
    <w:rsid w:val="00E6590A"/>
    <w:rsid w:val="00E67C5B"/>
    <w:rsid w:val="00E67EF7"/>
    <w:rsid w:val="00E715DD"/>
    <w:rsid w:val="00E71753"/>
    <w:rsid w:val="00E7404D"/>
    <w:rsid w:val="00E77854"/>
    <w:rsid w:val="00E81290"/>
    <w:rsid w:val="00E81E75"/>
    <w:rsid w:val="00E82AE5"/>
    <w:rsid w:val="00E82DCE"/>
    <w:rsid w:val="00E8387E"/>
    <w:rsid w:val="00E85E59"/>
    <w:rsid w:val="00E8630F"/>
    <w:rsid w:val="00E8690A"/>
    <w:rsid w:val="00E91288"/>
    <w:rsid w:val="00E93FF4"/>
    <w:rsid w:val="00E9484F"/>
    <w:rsid w:val="00E95913"/>
    <w:rsid w:val="00EA11CC"/>
    <w:rsid w:val="00EA336C"/>
    <w:rsid w:val="00EA7396"/>
    <w:rsid w:val="00EA7760"/>
    <w:rsid w:val="00EA7A38"/>
    <w:rsid w:val="00EB293A"/>
    <w:rsid w:val="00EB5005"/>
    <w:rsid w:val="00EB521F"/>
    <w:rsid w:val="00EB5373"/>
    <w:rsid w:val="00EB6495"/>
    <w:rsid w:val="00EB75AE"/>
    <w:rsid w:val="00EC23B8"/>
    <w:rsid w:val="00EC2621"/>
    <w:rsid w:val="00EC6DFB"/>
    <w:rsid w:val="00EC6FE9"/>
    <w:rsid w:val="00ED2ED7"/>
    <w:rsid w:val="00ED426E"/>
    <w:rsid w:val="00ED5F63"/>
    <w:rsid w:val="00EE1564"/>
    <w:rsid w:val="00EE35F1"/>
    <w:rsid w:val="00EE3C2A"/>
    <w:rsid w:val="00EE506B"/>
    <w:rsid w:val="00EF7A4E"/>
    <w:rsid w:val="00F01E4F"/>
    <w:rsid w:val="00F02923"/>
    <w:rsid w:val="00F03026"/>
    <w:rsid w:val="00F0346D"/>
    <w:rsid w:val="00F03983"/>
    <w:rsid w:val="00F06A2A"/>
    <w:rsid w:val="00F07150"/>
    <w:rsid w:val="00F11496"/>
    <w:rsid w:val="00F12862"/>
    <w:rsid w:val="00F130FB"/>
    <w:rsid w:val="00F1542E"/>
    <w:rsid w:val="00F15984"/>
    <w:rsid w:val="00F16DD6"/>
    <w:rsid w:val="00F16F13"/>
    <w:rsid w:val="00F2337D"/>
    <w:rsid w:val="00F270E0"/>
    <w:rsid w:val="00F3004D"/>
    <w:rsid w:val="00F30FB5"/>
    <w:rsid w:val="00F31776"/>
    <w:rsid w:val="00F3196F"/>
    <w:rsid w:val="00F31CDC"/>
    <w:rsid w:val="00F322A0"/>
    <w:rsid w:val="00F32ECD"/>
    <w:rsid w:val="00F32F43"/>
    <w:rsid w:val="00F34C13"/>
    <w:rsid w:val="00F40154"/>
    <w:rsid w:val="00F41F5B"/>
    <w:rsid w:val="00F426FB"/>
    <w:rsid w:val="00F42FAB"/>
    <w:rsid w:val="00F447C0"/>
    <w:rsid w:val="00F45205"/>
    <w:rsid w:val="00F45651"/>
    <w:rsid w:val="00F47A96"/>
    <w:rsid w:val="00F47AB9"/>
    <w:rsid w:val="00F5072A"/>
    <w:rsid w:val="00F51252"/>
    <w:rsid w:val="00F54979"/>
    <w:rsid w:val="00F549CA"/>
    <w:rsid w:val="00F551C4"/>
    <w:rsid w:val="00F56861"/>
    <w:rsid w:val="00F57EE3"/>
    <w:rsid w:val="00F607A6"/>
    <w:rsid w:val="00F60D7C"/>
    <w:rsid w:val="00F63F43"/>
    <w:rsid w:val="00F6411D"/>
    <w:rsid w:val="00F658D6"/>
    <w:rsid w:val="00F71AE8"/>
    <w:rsid w:val="00F72E00"/>
    <w:rsid w:val="00F72E89"/>
    <w:rsid w:val="00F74B8E"/>
    <w:rsid w:val="00F76C80"/>
    <w:rsid w:val="00F80E2B"/>
    <w:rsid w:val="00F838DB"/>
    <w:rsid w:val="00F84E8E"/>
    <w:rsid w:val="00F874C9"/>
    <w:rsid w:val="00F93A18"/>
    <w:rsid w:val="00F95BC2"/>
    <w:rsid w:val="00F97A1A"/>
    <w:rsid w:val="00FA2EA1"/>
    <w:rsid w:val="00FA4DC5"/>
    <w:rsid w:val="00FA4F1D"/>
    <w:rsid w:val="00FA68E7"/>
    <w:rsid w:val="00FB08DA"/>
    <w:rsid w:val="00FB0F20"/>
    <w:rsid w:val="00FB23F2"/>
    <w:rsid w:val="00FB3239"/>
    <w:rsid w:val="00FB377E"/>
    <w:rsid w:val="00FB4248"/>
    <w:rsid w:val="00FB4B5B"/>
    <w:rsid w:val="00FC1143"/>
    <w:rsid w:val="00FC1A64"/>
    <w:rsid w:val="00FC1B56"/>
    <w:rsid w:val="00FC1D66"/>
    <w:rsid w:val="00FC252B"/>
    <w:rsid w:val="00FC26F5"/>
    <w:rsid w:val="00FC42EC"/>
    <w:rsid w:val="00FC4575"/>
    <w:rsid w:val="00FC595E"/>
    <w:rsid w:val="00FC5B1F"/>
    <w:rsid w:val="00FC6BA1"/>
    <w:rsid w:val="00FC7518"/>
    <w:rsid w:val="00FD0C75"/>
    <w:rsid w:val="00FD67FD"/>
    <w:rsid w:val="00FE284B"/>
    <w:rsid w:val="00FE4F3E"/>
    <w:rsid w:val="00FE7A6B"/>
    <w:rsid w:val="00FF0142"/>
    <w:rsid w:val="00FF03C4"/>
    <w:rsid w:val="00FF2093"/>
    <w:rsid w:val="00FF5077"/>
    <w:rsid w:val="00FF58E1"/>
    <w:rsid w:val="00FF6ED7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AC07"/>
  <w15:docId w15:val="{B59545B0-ABC0-4F2F-AFF5-6E7983B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8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48A"/>
  </w:style>
  <w:style w:type="paragraph" w:styleId="HTML">
    <w:name w:val="HTML Preformatted"/>
    <w:basedOn w:val="a"/>
    <w:link w:val="HTML0"/>
    <w:uiPriority w:val="99"/>
    <w:unhideWhenUsed/>
    <w:rsid w:val="00064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6448A"/>
    <w:rPr>
      <w:rFonts w:ascii="Courier New" w:eastAsia="Times New Roman" w:hAnsi="Courier New" w:cs="Times New Roman"/>
      <w:sz w:val="20"/>
      <w:szCs w:val="20"/>
    </w:rPr>
  </w:style>
  <w:style w:type="character" w:customStyle="1" w:styleId="rvts0">
    <w:name w:val="rvts0"/>
    <w:basedOn w:val="a0"/>
    <w:rsid w:val="0006448A"/>
  </w:style>
  <w:style w:type="character" w:customStyle="1" w:styleId="rvts23">
    <w:name w:val="rvts23"/>
    <w:basedOn w:val="a0"/>
    <w:rsid w:val="0006448A"/>
  </w:style>
  <w:style w:type="character" w:customStyle="1" w:styleId="rvts9">
    <w:name w:val="rvts9"/>
    <w:basedOn w:val="a0"/>
    <w:rsid w:val="0006448A"/>
  </w:style>
  <w:style w:type="character" w:customStyle="1" w:styleId="rvts82">
    <w:name w:val="rvts82"/>
    <w:basedOn w:val="a0"/>
    <w:rsid w:val="0006448A"/>
  </w:style>
  <w:style w:type="paragraph" w:styleId="a3">
    <w:name w:val="header"/>
    <w:basedOn w:val="a"/>
    <w:link w:val="a4"/>
    <w:uiPriority w:val="99"/>
    <w:unhideWhenUsed/>
    <w:rsid w:val="000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448A"/>
  </w:style>
  <w:style w:type="table" w:styleId="a5">
    <w:name w:val="Table Grid"/>
    <w:basedOn w:val="a1"/>
    <w:rsid w:val="000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06448A"/>
  </w:style>
  <w:style w:type="paragraph" w:styleId="a6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spelle">
    <w:name w:val="spelle"/>
    <w:basedOn w:val="a0"/>
    <w:rsid w:val="0006448A"/>
  </w:style>
  <w:style w:type="paragraph" w:styleId="a7">
    <w:name w:val="Body Text Indent"/>
    <w:basedOn w:val="a"/>
    <w:link w:val="a8"/>
    <w:rsid w:val="000644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character" w:customStyle="1" w:styleId="a8">
    <w:name w:val="Основний текст з відступом Знак"/>
    <w:basedOn w:val="a0"/>
    <w:link w:val="a7"/>
    <w:rsid w:val="0006448A"/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paragraph" w:styleId="31">
    <w:name w:val="Body Text 3"/>
    <w:basedOn w:val="a"/>
    <w:link w:val="32"/>
    <w:rsid w:val="000644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character" w:customStyle="1" w:styleId="32">
    <w:name w:val="Основний текст 3 Знак"/>
    <w:basedOn w:val="a0"/>
    <w:link w:val="31"/>
    <w:rsid w:val="0006448A"/>
    <w:rPr>
      <w:rFonts w:ascii="Verdana" w:eastAsia="Times New Roman" w:hAnsi="Verdana" w:cs="Times New Roman"/>
      <w:color w:val="000000"/>
      <w:sz w:val="11"/>
      <w:szCs w:val="11"/>
      <w:lang w:eastAsia="ru-RU"/>
    </w:rPr>
  </w:style>
  <w:style w:type="character" w:styleId="a9">
    <w:name w:val="Hyperlink"/>
    <w:basedOn w:val="a0"/>
    <w:uiPriority w:val="99"/>
    <w:unhideWhenUsed/>
    <w:rsid w:val="0006448A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0644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rsid w:val="000644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4">
    <w:name w:val="Style24"/>
    <w:basedOn w:val="a"/>
    <w:uiPriority w:val="99"/>
    <w:rsid w:val="0006448A"/>
    <w:pPr>
      <w:widowControl w:val="0"/>
      <w:suppressAutoHyphens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styleId="aa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b"/>
    <w:unhideWhenUsed/>
    <w:rsid w:val="0006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331D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5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B4363D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4363D"/>
    <w:rPr>
      <w:sz w:val="16"/>
      <w:szCs w:val="16"/>
    </w:rPr>
  </w:style>
  <w:style w:type="character" w:customStyle="1" w:styleId="fontstyle01">
    <w:name w:val="fontstyle01"/>
    <w:basedOn w:val="a0"/>
    <w:rsid w:val="00C13F19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a0"/>
    <w:rsid w:val="00B43533"/>
  </w:style>
  <w:style w:type="character" w:styleId="ae">
    <w:name w:val="Emphasis"/>
    <w:basedOn w:val="a0"/>
    <w:uiPriority w:val="20"/>
    <w:qFormat/>
    <w:rsid w:val="00560071"/>
    <w:rPr>
      <w:i/>
      <w:iCs/>
    </w:rPr>
  </w:style>
  <w:style w:type="character" w:styleId="af">
    <w:name w:val="Strong"/>
    <w:basedOn w:val="a0"/>
    <w:uiPriority w:val="22"/>
    <w:qFormat/>
    <w:rsid w:val="004E2E74"/>
    <w:rPr>
      <w:b/>
      <w:bCs/>
    </w:rPr>
  </w:style>
  <w:style w:type="character" w:customStyle="1" w:styleId="ab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a"/>
    <w:locked/>
    <w:rsid w:val="00D37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8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justify">
    <w:name w:val="ql-align-justify"/>
    <w:basedOn w:val="a"/>
    <w:rsid w:val="00A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Нормальний текст"/>
    <w:basedOn w:val="a"/>
    <w:rsid w:val="00BD59F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f1">
    <w:name w:val="footer"/>
    <w:basedOn w:val="a"/>
    <w:link w:val="af2"/>
    <w:uiPriority w:val="99"/>
    <w:unhideWhenUsed/>
    <w:rsid w:val="00650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650723"/>
  </w:style>
  <w:style w:type="paragraph" w:styleId="af3">
    <w:name w:val="Body Text"/>
    <w:basedOn w:val="a"/>
    <w:link w:val="af4"/>
    <w:uiPriority w:val="99"/>
    <w:semiHidden/>
    <w:unhideWhenUsed/>
    <w:rsid w:val="00FC7518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FC7518"/>
  </w:style>
  <w:style w:type="paragraph" w:styleId="af5">
    <w:name w:val="Title"/>
    <w:basedOn w:val="a"/>
    <w:link w:val="af6"/>
    <w:qFormat/>
    <w:rsid w:val="00ED426E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 Знак"/>
    <w:basedOn w:val="a0"/>
    <w:link w:val="af5"/>
    <w:rsid w:val="00ED426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7">
    <w:name w:val="Revision"/>
    <w:hidden/>
    <w:uiPriority w:val="99"/>
    <w:semiHidden/>
    <w:rsid w:val="002A433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40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42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41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16F9-382E-4A3F-BD3E-D26A3DF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12748</Words>
  <Characters>7267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Сергій</dc:creator>
  <cp:lastModifiedBy>Admin</cp:lastModifiedBy>
  <cp:revision>150</cp:revision>
  <cp:lastPrinted>2023-10-14T11:10:00Z</cp:lastPrinted>
  <dcterms:created xsi:type="dcterms:W3CDTF">2023-10-24T09:05:00Z</dcterms:created>
  <dcterms:modified xsi:type="dcterms:W3CDTF">2023-10-26T11:59:00Z</dcterms:modified>
</cp:coreProperties>
</file>