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11 жовтня 2016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 xml:space="preserve">(зі змінами))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Державна установа «Центр обслуговування підрозділів Міністерства внутрішніх справ України» ( код за ЄДРПОУ 14317108)</w:t>
            </w:r>
            <w:r/>
          </w:p>
        </w:tc>
      </w:tr>
      <w:tr>
        <w:trPr>
          <w:trHeight w:val="7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за ДК 021:2015 - 30210000-4,  Машини для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робки даних (апаратна частина)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(Програмно-апаратний комплекс на базі моноблоку)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процедури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особливостями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Ідентифікатор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UA-2023-09-11-012067-a</w:t>
            </w:r>
            <w:r/>
          </w:p>
        </w:tc>
      </w:tr>
      <w:tr>
        <w:trPr>
          <w:trHeight w:val="9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технічних та якісних характеристик 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Програмно-апаратний комплекс на базі моноблоку конфігурація 1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ru-RU" w:eastAsia="ru-RU"/>
              </w:rPr>
              <w:t xml:space="preserve"> – 115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ru-RU" w:eastAsia="ru-RU"/>
              </w:rPr>
              <w:t xml:space="preserve">шт</w:t>
            </w:r>
            <w:r/>
          </w:p>
          <w:tbl>
            <w:tblPr>
              <w:tblW w:w="674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186"/>
              <w:gridCol w:w="3868"/>
            </w:tblGrid>
            <w:tr>
              <w:trPr>
                <w:trHeight w:val="264"/>
              </w:trPr>
              <w:tc>
                <w:tcPr>
                  <w:shd w:val="clear" w:color="auto" w:fill="auto"/>
                  <w:tcW w:w="6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№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Назва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widowControl w:val="o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Вимога</w:t>
                  </w:r>
                  <w:r/>
                </w:p>
              </w:tc>
            </w:tr>
            <w:tr>
              <w:trPr>
                <w:trHeight w:val="482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Форм-фактор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Моноблок (застосування кріплень, перехідників, тощо не допускається)</w:t>
                  </w:r>
                  <w:r/>
                </w:p>
              </w:tc>
            </w:tr>
            <w:tr>
              <w:trPr>
                <w:trHeight w:val="949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2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Дисплей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Діагональ: не менше ніж 27 ";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Тип матриці: не гірше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VA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або IPS;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Максимальна роздільна здатність: не менше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192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 x 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08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Full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HD.</w:t>
                  </w:r>
                  <w:r/>
                </w:p>
              </w:tc>
            </w:tr>
            <w:tr>
              <w:trPr>
                <w:trHeight w:val="1666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3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Процесор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Виробник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Intel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або еквівалент;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Кількість фізичних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ядер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: не менше ніж 6;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Кількість потоків: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Обсяг кеш-пам’яті: не менше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18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MB;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Базова тактова частота процесора: не менше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,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5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GHz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Літографія: не гірше 14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nm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.</w:t>
                  </w:r>
                  <w:r/>
                </w:p>
              </w:tc>
            </w:tr>
            <w:tr>
              <w:trPr>
                <w:trHeight w:val="264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4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Чіпсет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материнської плати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Intel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H61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 або еквівалент.</w:t>
                  </w:r>
                  <w:r/>
                </w:p>
              </w:tc>
            </w:tr>
            <w:tr>
              <w:trPr>
                <w:trHeight w:val="716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5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Оперативна пам'ять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Об'єм пам'яті: не менше ніж 16 GB;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br/>
                    <w:t xml:space="preserve">Тип пам'яті: не гірше DDR4;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Частота пам'яті: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3200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MHz</w:t>
                  </w:r>
                  <w:r/>
                </w:p>
              </w:tc>
            </w:tr>
            <w:tr>
              <w:trPr>
                <w:trHeight w:val="1417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6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Накопичувач SSD 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Об’єм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накопичувача: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480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G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B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M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.2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NVMe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, з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наступними показниками: 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Швидкість послідовного читання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2000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MB/s 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Швидкість послідовного запису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150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0MB/s</w:t>
                  </w:r>
                  <w:r/>
                </w:p>
              </w:tc>
            </w:tr>
            <w:tr>
              <w:trPr>
                <w:trHeight w:val="280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7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Графічний адаптер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гірше ніж 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Intel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UHD 730  або еквівалент.</w:t>
                  </w:r>
                  <w:r/>
                </w:p>
              </w:tc>
            </w:tr>
            <w:tr>
              <w:trPr>
                <w:trHeight w:val="467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8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Слоти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розширення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 x M.2 2242/2260/2280 з підтримкою накопичувачів з інтерфейсами SATA та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PCIe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.</w:t>
                  </w:r>
                  <w:r/>
                </w:p>
              </w:tc>
            </w:tr>
            <w:tr>
              <w:trPr>
                <w:trHeight w:val="264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9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ind w:firstLine="31"/>
                    <w:spacing w:after="0" w:line="240" w:lineRule="auto"/>
                    <w:shd w:val="clear" w:color="auto" w:fill="ffff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Вихід HDMI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ind w:right="119"/>
                    <w:spacing w:after="0" w:line="240" w:lineRule="auto"/>
                    <w:shd w:val="clear" w:color="auto" w:fill="ffffff"/>
                    <w:tabs>
                      <w:tab w:val="left" w:pos="6652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–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1</w:t>
                  </w:r>
                  <w:r/>
                </w:p>
              </w:tc>
            </w:tr>
            <w:tr>
              <w:trPr>
                <w:trHeight w:val="264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0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ind w:firstLine="31"/>
                    <w:spacing w:after="0" w:line="240" w:lineRule="auto"/>
                    <w:shd w:val="clear" w:color="auto" w:fill="ffffff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Вихід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 VGA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ind w:right="119"/>
                    <w:spacing w:after="0" w:line="240" w:lineRule="auto"/>
                    <w:shd w:val="clear" w:color="auto" w:fill="ffffff"/>
                    <w:tabs>
                      <w:tab w:val="left" w:pos="6652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–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1</w:t>
                  </w:r>
                  <w:r/>
                </w:p>
              </w:tc>
            </w:tr>
            <w:tr>
              <w:trPr>
                <w:trHeight w:val="280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1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ind w:firstLine="31"/>
                    <w:spacing w:after="0" w:line="240" w:lineRule="auto"/>
                    <w:shd w:val="clear" w:color="auto" w:fill="ffff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Аудіо вихід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ind w:right="119"/>
                    <w:spacing w:after="0" w:line="240" w:lineRule="auto"/>
                    <w:shd w:val="clear" w:color="auto" w:fill="ffffff"/>
                    <w:tabs>
                      <w:tab w:val="left" w:pos="6652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– 1 (3.5mm)</w:t>
                  </w:r>
                  <w:r/>
                </w:p>
              </w:tc>
            </w:tr>
            <w:tr>
              <w:trPr>
                <w:trHeight w:val="264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2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ind w:firstLine="31"/>
                    <w:spacing w:after="0" w:line="240" w:lineRule="auto"/>
                    <w:shd w:val="clear" w:color="auto" w:fill="ffff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Наявність USB 2.0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ind w:right="119"/>
                    <w:spacing w:after="0" w:line="240" w:lineRule="auto"/>
                    <w:shd w:val="clear" w:color="auto" w:fill="ffffff"/>
                    <w:tabs>
                      <w:tab w:val="left" w:pos="6652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– 2 (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Type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-A)</w:t>
                  </w:r>
                  <w:r/>
                </w:p>
              </w:tc>
            </w:tr>
            <w:tr>
              <w:trPr>
                <w:trHeight w:val="264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3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ind w:firstLine="31"/>
                    <w:spacing w:after="0" w:line="240" w:lineRule="auto"/>
                    <w:shd w:val="clear" w:color="auto" w:fill="ffff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Наявність USB 3.2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ind w:right="119"/>
                    <w:spacing w:after="0" w:line="240" w:lineRule="auto"/>
                    <w:shd w:val="clear" w:color="auto" w:fill="ffffff"/>
                    <w:tabs>
                      <w:tab w:val="left" w:pos="6652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–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2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(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Gen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, один з яких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Type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-С)</w:t>
                  </w:r>
                  <w:r/>
                </w:p>
              </w:tc>
            </w:tr>
            <w:tr>
              <w:trPr>
                <w:trHeight w:val="513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4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Бездротовий мережевий інтерфейс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jc w:val="both"/>
                    <w:spacing w:after="0" w:line="259" w:lineRule="auto"/>
                    <w:widowControl w:val="off"/>
                    <w:tabs>
                      <w:tab w:val="left" w:pos="851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Модуль WIFI +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Bluetooth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з підтримкою стандартів IEEE - не гірше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Wi-Fi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5 (802.11ac),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Bluetooth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4.0.</w:t>
                  </w:r>
                  <w:r/>
                </w:p>
              </w:tc>
            </w:tr>
            <w:tr>
              <w:trPr>
                <w:trHeight w:val="467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5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ind w:right="-165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Мережевий адаптер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ніж 1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Ethernet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-порт (RJ-45 з підтримкою стандартів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10/100/1000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Mbps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</w:t>
                  </w:r>
                  <w:r/>
                </w:p>
              </w:tc>
            </w:tr>
            <w:tr>
              <w:trPr>
                <w:trHeight w:val="264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6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Блок живлення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Зовнішній адаптер потужністю не менше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0Вт;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Достатня потужність для діючої конфігурації з максимальним навантаженням (включаючи потужності комплектуючих, які можуть бути встановлені у вільні роз’єми), що гарантується виробником.</w:t>
                  </w:r>
                  <w:r/>
                </w:p>
              </w:tc>
            </w:tr>
            <w:tr>
              <w:trPr>
                <w:trHeight w:val="469"/>
              </w:trPr>
              <w:tc>
                <w:tcPr>
                  <w:shd w:val="clear" w:color="auto" w:fill="auto"/>
                  <w:tcW w:w="690" w:type="dxa"/>
                  <w:textDirection w:val="lrTb"/>
                  <w:noWrap w:val="false"/>
                </w:tcPr>
                <w:p>
                  <w:pPr>
                    <w:ind w:right="-165"/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17</w:t>
                  </w:r>
                  <w:r/>
                </w:p>
              </w:tc>
              <w:tc>
                <w:tcPr>
                  <w:shd w:val="clear" w:color="auto" w:fill="auto"/>
                  <w:tcW w:w="2186" w:type="dxa"/>
                  <w:textDirection w:val="lrTb"/>
                  <w:noWrap w:val="false"/>
                </w:tcPr>
                <w:p>
                  <w:pPr>
                    <w:ind w:right="-165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Камера</w:t>
                  </w:r>
                  <w:r/>
                </w:p>
              </w:tc>
              <w:tc>
                <w:tcPr>
                  <w:shd w:val="clear" w:color="auto" w:fill="auto"/>
                  <w:tcW w:w="3868" w:type="dxa"/>
                  <w:textDirection w:val="lrTb"/>
                  <w:noWrap w:val="false"/>
                </w:tcPr>
                <w:p>
                  <w:pPr>
                    <w:ind w:right="-165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гірше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Web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Camera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Full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HD, технологія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Pop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Up.</w:t>
                  </w:r>
                  <w:r/>
                </w:p>
              </w:tc>
            </w:tr>
            <w:tr>
              <w:trPr>
                <w:trHeight w:val="219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18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186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Операційна система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868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Microsoft® Windows® 11 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Pro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предінстальована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 виробником системного блоку, з використанням технології ОЕМ активації ОА 3.0. Справжність встановленої ліцензії повинна бути підтверджена 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  <w:lang w:val="ru-RU"/>
                    </w:rPr>
                    <w:t xml:space="preserve">GML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 наліпкою на системному блоці без ключа активації, ключ активації повинен бути вшитий у 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  <w:lang w:val="ru-RU"/>
                    </w:rPr>
                    <w:t xml:space="preserve">BIOS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 материнської плати системного блока. 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  <w:lang w:val="ru-RU"/>
                    </w:rPr>
                    <w:t xml:space="preserve">Активація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  <w:lang w:val="ru-RU"/>
                    </w:rPr>
                    <w:t xml:space="preserve"> проводиться 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  <w:lang w:val="ru-RU"/>
                    </w:rPr>
                    <w:t xml:space="preserve">Замовником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  <w:lang w:val="ru-RU"/>
                    </w:rPr>
                    <w:t xml:space="preserve">.</w:t>
                  </w:r>
                  <w:r/>
                </w:p>
              </w:tc>
            </w:tr>
            <w:tr>
              <w:trPr>
                <w:trHeight w:val="163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19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186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Arial Unicode MS"/>
                      <w:sz w:val="20"/>
                      <w:szCs w:val="20"/>
                      <w:lang w:eastAsia="ru-RU"/>
                    </w:rPr>
                    <w:t xml:space="preserve">Клавіатура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868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стандартна, містить не менше ніж 104 клавіші, з окремим блоком клавіш для набору цифр;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латинсько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-кирилична, з нанесеними літерами латиниці, російської та української абеток; тип інтерфейсу – USB, довжина кабелю – не менше 1,5 метра.</w:t>
                  </w:r>
                  <w:r/>
                </w:p>
              </w:tc>
            </w:tr>
            <w:tr>
              <w:trPr>
                <w:trHeight w:val="1370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20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186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Arial Unicode MS"/>
                      <w:sz w:val="20"/>
                      <w:szCs w:val="20"/>
                      <w:lang w:eastAsia="ru-RU"/>
                    </w:rPr>
                    <w:t xml:space="preserve">Маніпулятор типу "миша"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868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технологія - оптична;  тип підключення - USB-інтерфейс;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br/>
                    <w:t xml:space="preserve">кількість кнопок - щонайменше 3: ліва, права, колесо-кнопка для скролінгу, довжина кабелю – не менше 1,5 метра.</w:t>
                  </w:r>
                  <w:r/>
                </w:p>
              </w:tc>
            </w:tr>
            <w:tr>
              <w:trPr>
                <w:trHeight w:val="54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21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186" w:type="dxa"/>
                  <w:vAlign w:val="center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Гарантія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868" w:type="dxa"/>
                  <w:vAlign w:val="center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 моноблок - від виробника, не менше ніж 36;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br/>
                    <w:t xml:space="preserve">На клавіатуру та мишу - не менше 12.</w:t>
                  </w:r>
                  <w:r/>
                </w:p>
              </w:tc>
            </w:tr>
          </w:tbl>
          <w:p>
            <w:pPr>
              <w:contextualSpacing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Програмно-апаратний комплекс на базі моноблоку конфігурація 2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ru-RU" w:eastAsia="ru-RU"/>
              </w:rPr>
              <w:t xml:space="preserve"> – 5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ru-RU" w:eastAsia="ru-RU"/>
              </w:rPr>
              <w:t xml:space="preserve">шт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/>
          </w:p>
          <w:tbl>
            <w:tblPr>
              <w:tblW w:w="671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2167"/>
              <w:gridCol w:w="3867"/>
            </w:tblGrid>
            <w:tr>
              <w:trPr>
                <w:trHeight w:val="287"/>
              </w:trPr>
              <w:tc>
                <w:tcPr>
                  <w:shd w:val="clear" w:color="auto" w:fill="auto"/>
                  <w:tcW w:w="6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№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Назва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widowControl w:val="o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Вимога</w:t>
                  </w:r>
                  <w:r/>
                </w:p>
              </w:tc>
            </w:tr>
            <w:tr>
              <w:trPr>
                <w:trHeight w:val="498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Форм-фактор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Моноблок (застосування кріплень, перехідників, тощо не допускається)</w:t>
                  </w:r>
                  <w:r/>
                </w:p>
              </w:tc>
            </w:tr>
            <w:tr>
              <w:trPr>
                <w:trHeight w:val="1027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2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Дисплей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Діагональ: не менше ніж 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3.8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";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Тип матриці: не гірше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VA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або IPS;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Максимальна роздільна здатність: не менше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1920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x 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08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Full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HD.</w:t>
                  </w:r>
                  <w:r/>
                </w:p>
              </w:tc>
            </w:tr>
            <w:tr>
              <w:trPr>
                <w:trHeight w:val="755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3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Процесор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Виробник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Intel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або еквівалент;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Кількість фізичних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ядер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: не менше ніж 6;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Кількість потоків: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Обсяг кеш-пам’яті: не менше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18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MB;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Базова тактова частота процесора: не менше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,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5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GHz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Літографія: не гірше 14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nm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.</w:t>
                  </w:r>
                  <w:r/>
                </w:p>
              </w:tc>
            </w:tr>
            <w:tr>
              <w:trPr>
                <w:trHeight w:val="513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4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Чіпсет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материнської плати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Intel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H61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 або еквівалент.</w:t>
                  </w:r>
                  <w:r/>
                </w:p>
              </w:tc>
            </w:tr>
            <w:tr>
              <w:trPr>
                <w:trHeight w:val="755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5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Оперативна пам'ять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Об'єм пам'яті: не менше ніж 16 GB;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br/>
                    <w:t xml:space="preserve">Тип пам'яті: не гірше DDR4;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Частота пам'яті: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3200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MHz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.</w:t>
                  </w:r>
                  <w:r/>
                </w:p>
              </w:tc>
            </w:tr>
            <w:tr>
              <w:trPr>
                <w:trHeight w:val="1526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6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Накопичувач SSD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Об’єм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накопичувача: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480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G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B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M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.2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NVMe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, з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наступними показниками: 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Швидкість послідовного читання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2000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MB/s 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Швидкість послідовного запису не менше ніж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150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0MB/s</w:t>
                  </w:r>
                  <w:r/>
                </w:p>
              </w:tc>
            </w:tr>
            <w:tr>
              <w:trPr>
                <w:trHeight w:val="287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7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Графічний адаптер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гірше ніж 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Intel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UHD 730  або еквівалент.</w:t>
                  </w:r>
                  <w:r/>
                </w:p>
              </w:tc>
            </w:tr>
            <w:tr>
              <w:trPr>
                <w:trHeight w:val="498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8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Слоти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розширення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 x M.2 2242/2260/2280 з підтримкою накопичувачів з інтерфейсами SATA та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PCIe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.</w:t>
                  </w:r>
                  <w:r/>
                </w:p>
              </w:tc>
            </w:tr>
            <w:tr>
              <w:trPr>
                <w:trHeight w:val="287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9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ind w:firstLine="31"/>
                    <w:spacing w:after="0" w:line="240" w:lineRule="auto"/>
                    <w:shd w:val="clear" w:color="auto" w:fill="ffff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Вихід HDMI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ind w:right="119"/>
                    <w:spacing w:after="0" w:line="240" w:lineRule="auto"/>
                    <w:shd w:val="clear" w:color="auto" w:fill="ffffff"/>
                    <w:tabs>
                      <w:tab w:val="left" w:pos="6652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– 1</w:t>
                  </w:r>
                  <w:r/>
                </w:p>
              </w:tc>
            </w:tr>
            <w:tr>
              <w:trPr>
                <w:trHeight w:val="287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10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ind w:firstLine="31"/>
                    <w:spacing w:after="0" w:line="240" w:lineRule="auto"/>
                    <w:shd w:val="clear" w:color="auto" w:fill="ffff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Аудіо вихід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ind w:right="119"/>
                    <w:spacing w:after="0" w:line="240" w:lineRule="auto"/>
                    <w:shd w:val="clear" w:color="auto" w:fill="ffffff"/>
                    <w:tabs>
                      <w:tab w:val="left" w:pos="6652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– 1 (3.5mm)</w:t>
                  </w:r>
                  <w:r/>
                </w:p>
              </w:tc>
            </w:tr>
            <w:tr>
              <w:trPr>
                <w:trHeight w:val="287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11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ind w:firstLine="31"/>
                    <w:spacing w:after="0" w:line="240" w:lineRule="auto"/>
                    <w:shd w:val="clear" w:color="auto" w:fill="ffff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Наявність USB 2.0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ind w:right="119"/>
                    <w:spacing w:after="0" w:line="240" w:lineRule="auto"/>
                    <w:shd w:val="clear" w:color="auto" w:fill="ffffff"/>
                    <w:tabs>
                      <w:tab w:val="left" w:pos="6652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– 2 (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Type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-A)</w:t>
                  </w:r>
                  <w:r/>
                </w:p>
              </w:tc>
            </w:tr>
            <w:tr>
              <w:trPr>
                <w:trHeight w:val="287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12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ind w:firstLine="31"/>
                    <w:spacing w:after="0" w:line="240" w:lineRule="auto"/>
                    <w:shd w:val="clear" w:color="auto" w:fill="ffffff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Наявність USB 3.2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ind w:right="119"/>
                    <w:spacing w:after="0" w:line="240" w:lineRule="auto"/>
                    <w:shd w:val="clear" w:color="auto" w:fill="ffffff"/>
                    <w:tabs>
                      <w:tab w:val="left" w:pos="6652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–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(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Gen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Type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-A)</w:t>
                  </w:r>
                  <w:r/>
                </w:p>
              </w:tc>
            </w:tr>
            <w:tr>
              <w:trPr>
                <w:trHeight w:val="831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13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Бездротовий мережевий інтерфейс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jc w:val="both"/>
                    <w:spacing w:after="0" w:line="259" w:lineRule="auto"/>
                    <w:widowControl w:val="off"/>
                    <w:tabs>
                      <w:tab w:val="left" w:pos="851" w:leader="none"/>
                    </w:tabs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Модуль WIFI +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Bluetooth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з підтримкою стандартів IEEE - не гірше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Wi-Fi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5 (802.11ac),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Bluetooth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4.0.</w:t>
                  </w:r>
                  <w:r/>
                </w:p>
              </w:tc>
            </w:tr>
            <w:tr>
              <w:trPr>
                <w:trHeight w:val="498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14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ind w:right="-165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Мережевий адаптер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менше ніж 1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Ethernet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-порт (RJ-45 з підтримкою стандартів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10/100/1000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Mbps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</w:t>
                  </w:r>
                  <w:r/>
                </w:p>
              </w:tc>
            </w:tr>
            <w:tr>
              <w:trPr>
                <w:trHeight w:val="1783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15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Блок живлення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Зовнішній адаптер потужністю не менше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12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0Вт;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Достатня потужність для діючої конфігурації з максимальним навантаженням (включаючи потужності комплектуючих, які можуть бути встановлені у вільні роз’єми), що гарантується виробником.</w:t>
                  </w:r>
                  <w:r/>
                </w:p>
              </w:tc>
            </w:tr>
            <w:tr>
              <w:trPr>
                <w:trHeight w:val="455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ind w:right="-165"/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16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ind w:right="-165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Камера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ind w:right="-165"/>
                    <w:spacing w:after="0" w:line="240" w:lineRule="auto"/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Не гірше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Web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Camera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Full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 HD, технологія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Pop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en-US" w:eastAsia="ru-RU"/>
                    </w:rPr>
                    <w:t xml:space="preserve">Up.</w:t>
                  </w:r>
                  <w:r/>
                </w:p>
              </w:tc>
            </w:tr>
            <w:tr>
              <w:trPr>
                <w:trHeight w:val="455"/>
              </w:trPr>
              <w:tc>
                <w:tcPr>
                  <w:shd w:val="clear" w:color="auto" w:fill="auto"/>
                  <w:tcW w:w="684" w:type="dxa"/>
                  <w:textDirection w:val="lrTb"/>
                  <w:noWrap w:val="false"/>
                </w:tcPr>
                <w:p>
                  <w:pPr>
                    <w:ind w:right="-165"/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17</w:t>
                  </w:r>
                  <w:r/>
                </w:p>
              </w:tc>
              <w:tc>
                <w:tcPr>
                  <w:shd w:val="clear" w:color="auto" w:fill="auto"/>
                  <w:tcW w:w="2167" w:type="dxa"/>
                  <w:textDirection w:val="lrTb"/>
                  <w:noWrap w:val="false"/>
                </w:tcPr>
                <w:p>
                  <w:pPr>
                    <w:ind w:right="-165"/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Операційна система</w:t>
                  </w:r>
                  <w:r/>
                </w:p>
              </w:tc>
              <w:tc>
                <w:tcPr>
                  <w:shd w:val="clear" w:color="auto" w:fill="auto"/>
                  <w:tcW w:w="3867" w:type="dxa"/>
                  <w:textDirection w:val="lrTb"/>
                  <w:noWrap w:val="false"/>
                </w:tcPr>
                <w:p>
                  <w:pPr>
                    <w:ind w:right="-165"/>
                    <w:spacing w:after="0" w:line="240" w:lineRule="auto"/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Microsoft® Windows® 11 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Pro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предінстальована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 виробником системного блоку, з використанням тех</w:t>
                  </w:r>
                  <w:r>
                    <w:rPr>
                      <w:rFonts w:ascii="Times New Roman CYR" w:hAnsi="Times New Roman CYR" w:eastAsia="Times New Roman" w:cs="Times New Roman CYR"/>
                      <w:sz w:val="20"/>
                      <w:szCs w:val="20"/>
                    </w:rPr>
                    <w:t xml:space="preserve">нології ОЕМ активації ОА 3.0. Справжність встановленої ліцензії повинна бути підтверджена GML наліпкою на системному блоці без ключа активації, ключ активації повинен бути вшитий у BIOS материнської плати системного блока. Активація проводиться Замовником.</w:t>
                  </w:r>
                  <w:r/>
                </w:p>
              </w:tc>
            </w:tr>
            <w:tr>
              <w:trPr>
                <w:trHeight w:val="1753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18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167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Arial Unicode MS"/>
                      <w:sz w:val="20"/>
                      <w:szCs w:val="20"/>
                      <w:lang w:eastAsia="ru-RU"/>
                    </w:rPr>
                    <w:t xml:space="preserve">Клавіатура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867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стандартна, містить не менше ніж 104 клавіші, з окремим блоком клавіш для набору цифр;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латинсько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-кирилична, з нанесеними літерами латиниці, російської та української абеток; тип інтерфейсу – USB, довжина кабелю – не менше 1,5 метра.</w:t>
                  </w:r>
                  <w:r/>
                </w:p>
              </w:tc>
            </w:tr>
            <w:tr>
              <w:trPr>
                <w:trHeight w:val="861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19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167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Arial Unicode MS"/>
                      <w:sz w:val="20"/>
                      <w:szCs w:val="20"/>
                      <w:lang w:eastAsia="ru-RU"/>
                    </w:rPr>
                    <w:t xml:space="preserve">Маніпулятор типу "миша"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867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технологія - оптична;  тип підключення - USB-інтерфейс;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br/>
                    <w:t xml:space="preserve">кількість кнопок - щонайменше 3: ліва, права, колесо-кнопка для скролінгу, довжина кабелю – не менше 1,5 метра.</w:t>
                  </w:r>
                  <w:r/>
                </w:p>
              </w:tc>
            </w:tr>
            <w:tr>
              <w:trPr>
                <w:trHeight w:val="589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val="ru-RU" w:eastAsia="ru-RU"/>
                    </w:rPr>
                    <w:t xml:space="preserve">20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167" w:type="dxa"/>
                  <w:vAlign w:val="center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Гарантія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867" w:type="dxa"/>
                  <w:vAlign w:val="center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t xml:space="preserve">На моноблок - від виробника, не менше ніж 36;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ru-RU"/>
                    </w:rPr>
                    <w:br/>
                    <w:t xml:space="preserve">На клавіатуру та мишу - не менше 12.</w:t>
                  </w:r>
                  <w:r/>
                </w:p>
              </w:tc>
            </w:tr>
          </w:tbl>
          <w:p>
            <w:pPr>
              <w:ind w:firstLine="408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  <w:r/>
          </w:p>
        </w:tc>
      </w:tr>
      <w:tr>
        <w:trPr>
          <w:trHeight w:val="74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Очікувана вартість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4 300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  <w:r/>
          </w:p>
        </w:tc>
      </w:tr>
    </w:tbl>
    <w:p>
      <w:pPr>
        <w:pStyle w:val="697"/>
        <w:jc w:val="both"/>
        <w:rPr>
          <w:rFonts w:ascii="Times New Roman" w:hAnsi="Times New Roman"/>
          <w:sz w:val="24"/>
          <w:szCs w:val="24"/>
        </w:rPr>
      </w:pPr>
      <w:r/>
      <w:bookmarkStart w:id="1" w:name="_GoBack"/>
      <w:r/>
      <w:bookmarkEnd w:id="1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 CYR">
    <w:panose1 w:val="02020603050405020304"/>
  </w:font>
  <w:font w:name="Segoe UI">
    <w:panose1 w:val="020B0502040504020204"/>
  </w:font>
  <w:font w:name="Calibri Light">
    <w:panose1 w:val="020F0502020204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1320008"/>
      <w:docPartObj>
        <w:docPartGallery w:val="Page Numbers (Top of Page)"/>
        <w:docPartUnique w:val="true"/>
      </w:docPartObj>
      <w:rPr/>
    </w:sdtPr>
    <w:sdtContent>
      <w:p>
        <w:pPr>
          <w:pStyle w:val="70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  <w:tabs>
          <w:tab w:val="num" w:pos="786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6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nothing"/>
      <w:lvlText w:val="o"/>
      <w:lvlJc w:val="left"/>
      <w:pPr>
        <w:ind w:left="98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673" w:hanging="49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·"/>
      <w:lvlJc w:val="left"/>
      <w:pPr>
        <w:ind w:left="242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nothing"/>
      <w:lvlText w:val="o"/>
      <w:lvlJc w:val="left"/>
      <w:pPr>
        <w:ind w:left="314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836" w:hanging="46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·"/>
      <w:lvlJc w:val="left"/>
      <w:pPr>
        <w:ind w:left="458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nothing"/>
      <w:lvlText w:val="o"/>
      <w:lvlJc w:val="left"/>
      <w:pPr>
        <w:ind w:left="530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999" w:hanging="4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6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nothing"/>
      <w:lvlText w:val="o"/>
      <w:lvlJc w:val="left"/>
      <w:pPr>
        <w:ind w:left="98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673" w:hanging="49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·"/>
      <w:lvlJc w:val="left"/>
      <w:pPr>
        <w:ind w:left="242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nothing"/>
      <w:lvlText w:val="o"/>
      <w:lvlJc w:val="left"/>
      <w:pPr>
        <w:ind w:left="314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836" w:hanging="46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·"/>
      <w:lvlJc w:val="left"/>
      <w:pPr>
        <w:ind w:left="458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nothing"/>
      <w:lvlText w:val="o"/>
      <w:lvlJc w:val="left"/>
      <w:pPr>
        <w:ind w:left="530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999" w:hanging="4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Calibr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1"/>
    <w:link w:val="67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1"/>
    <w:link w:val="68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8"/>
    <w:next w:val="67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8"/>
    <w:next w:val="67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8"/>
    <w:next w:val="67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8"/>
    <w:next w:val="67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8"/>
    <w:next w:val="67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8"/>
    <w:next w:val="67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8"/>
    <w:next w:val="67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78"/>
    <w:next w:val="67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1"/>
    <w:link w:val="33"/>
    <w:uiPriority w:val="10"/>
    <w:rPr>
      <w:sz w:val="48"/>
      <w:szCs w:val="48"/>
    </w:rPr>
  </w:style>
  <w:style w:type="paragraph" w:styleId="35">
    <w:name w:val="Subtitle"/>
    <w:basedOn w:val="678"/>
    <w:next w:val="67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1"/>
    <w:link w:val="35"/>
    <w:uiPriority w:val="11"/>
    <w:rPr>
      <w:sz w:val="24"/>
      <w:szCs w:val="24"/>
    </w:rPr>
  </w:style>
  <w:style w:type="paragraph" w:styleId="37">
    <w:name w:val="Quote"/>
    <w:basedOn w:val="678"/>
    <w:next w:val="67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8"/>
    <w:next w:val="67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1"/>
    <w:link w:val="707"/>
    <w:uiPriority w:val="99"/>
  </w:style>
  <w:style w:type="character" w:styleId="44">
    <w:name w:val="Footer Char"/>
    <w:basedOn w:val="681"/>
    <w:link w:val="709"/>
    <w:uiPriority w:val="99"/>
  </w:style>
  <w:style w:type="paragraph" w:styleId="45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9"/>
    <w:uiPriority w:val="99"/>
  </w:style>
  <w:style w:type="table" w:styleId="48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1"/>
    <w:uiPriority w:val="99"/>
    <w:unhideWhenUsed/>
    <w:rPr>
      <w:vertAlign w:val="superscript"/>
    </w:rPr>
  </w:style>
  <w:style w:type="paragraph" w:styleId="177">
    <w:name w:val="endnote text"/>
    <w:basedOn w:val="67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1"/>
    <w:uiPriority w:val="99"/>
    <w:semiHidden/>
    <w:unhideWhenUsed/>
    <w:rPr>
      <w:vertAlign w:val="superscript"/>
    </w:rPr>
  </w:style>
  <w:style w:type="paragraph" w:styleId="180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679">
    <w:name w:val="Heading 1"/>
    <w:basedOn w:val="678"/>
    <w:link w:val="68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uk-UA"/>
    </w:rPr>
  </w:style>
  <w:style w:type="paragraph" w:styleId="680">
    <w:name w:val="Heading 2"/>
    <w:basedOn w:val="678"/>
    <w:next w:val="678"/>
    <w:link w:val="70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table" w:styleId="684">
    <w:name w:val="Table Grid"/>
    <w:basedOn w:val="68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5" w:customStyle="1">
    <w:name w:val="Заголовок 1 Знак"/>
    <w:link w:val="679"/>
    <w:uiPriority w:val="9"/>
    <w:rPr>
      <w:rFonts w:eastAsia="Times New Roman" w:cs="Times New Roman"/>
      <w:b/>
      <w:bCs/>
      <w:sz w:val="48"/>
      <w:szCs w:val="48"/>
      <w:lang w:eastAsia="uk-UA"/>
    </w:rPr>
  </w:style>
  <w:style w:type="character" w:styleId="686" w:customStyle="1">
    <w:name w:val="qa_buget"/>
    <w:basedOn w:val="681"/>
  </w:style>
  <w:style w:type="character" w:styleId="687" w:customStyle="1">
    <w:name w:val="qa_code"/>
    <w:basedOn w:val="681"/>
  </w:style>
  <w:style w:type="paragraph" w:styleId="688">
    <w:name w:val="Balloon Text"/>
    <w:basedOn w:val="678"/>
    <w:link w:val="689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689" w:customStyle="1">
    <w:name w:val="Текст у виносці Знак"/>
    <w:link w:val="688"/>
    <w:uiPriority w:val="99"/>
    <w:rPr>
      <w:rFonts w:ascii="Segoe UI" w:hAnsi="Segoe UI" w:cs="Segoe UI"/>
      <w:sz w:val="18"/>
      <w:szCs w:val="18"/>
    </w:rPr>
  </w:style>
  <w:style w:type="character" w:styleId="690" w:customStyle="1">
    <w:name w:val="h-hidden"/>
  </w:style>
  <w:style w:type="character" w:styleId="691">
    <w:name w:val="Hyperlink"/>
    <w:uiPriority w:val="99"/>
    <w:semiHidden/>
    <w:unhideWhenUsed/>
    <w:rPr>
      <w:color w:val="0000ff"/>
      <w:u w:val="single"/>
    </w:rPr>
  </w:style>
  <w:style w:type="character" w:styleId="692">
    <w:name w:val="annotation reference"/>
    <w:uiPriority w:val="99"/>
    <w:semiHidden/>
    <w:unhideWhenUsed/>
    <w:rPr>
      <w:sz w:val="16"/>
      <w:szCs w:val="16"/>
    </w:rPr>
  </w:style>
  <w:style w:type="paragraph" w:styleId="693">
    <w:name w:val="annotation text"/>
    <w:basedOn w:val="678"/>
    <w:link w:val="694"/>
    <w:uiPriority w:val="99"/>
    <w:semiHidden/>
    <w:unhideWhenUsed/>
    <w:rPr>
      <w:sz w:val="20"/>
      <w:szCs w:val="20"/>
    </w:rPr>
  </w:style>
  <w:style w:type="character" w:styleId="694" w:customStyle="1">
    <w:name w:val="Текст примітки Знак"/>
    <w:link w:val="693"/>
    <w:uiPriority w:val="99"/>
    <w:semiHidden/>
    <w:rPr>
      <w:rFonts w:ascii="Calibri" w:hAnsi="Calibri" w:cs="Times New Roman"/>
      <w:lang w:eastAsia="en-US"/>
    </w:rPr>
  </w:style>
  <w:style w:type="paragraph" w:styleId="695">
    <w:name w:val="annotation subject"/>
    <w:basedOn w:val="693"/>
    <w:next w:val="693"/>
    <w:link w:val="696"/>
    <w:uiPriority w:val="99"/>
    <w:semiHidden/>
    <w:unhideWhenUsed/>
    <w:rPr>
      <w:b/>
      <w:bCs/>
    </w:rPr>
  </w:style>
  <w:style w:type="character" w:styleId="696" w:customStyle="1">
    <w:name w:val="Тема примітки Знак"/>
    <w:link w:val="695"/>
    <w:uiPriority w:val="99"/>
    <w:semiHidden/>
    <w:rPr>
      <w:rFonts w:ascii="Calibri" w:hAnsi="Calibri" w:cs="Times New Roman"/>
      <w:b/>
      <w:bCs/>
      <w:lang w:eastAsia="en-US"/>
    </w:rPr>
  </w:style>
  <w:style w:type="paragraph" w:styleId="697">
    <w:name w:val="No Spacing"/>
    <w:link w:val="698"/>
    <w:qFormat/>
    <w:rPr>
      <w:rFonts w:ascii="Calibri" w:hAnsi="Calibri" w:cs="Times New Roman"/>
      <w:sz w:val="22"/>
      <w:szCs w:val="22"/>
      <w:lang w:eastAsia="en-US"/>
    </w:rPr>
  </w:style>
  <w:style w:type="character" w:styleId="698" w:customStyle="1">
    <w:name w:val="Без інтервалів Знак"/>
    <w:link w:val="697"/>
    <w:rPr>
      <w:rFonts w:ascii="Calibri" w:hAnsi="Calibri" w:cs="Times New Roman"/>
      <w:sz w:val="22"/>
      <w:szCs w:val="22"/>
      <w:lang w:eastAsia="en-US"/>
    </w:rPr>
  </w:style>
  <w:style w:type="paragraph" w:styleId="699">
    <w:name w:val="Body Text"/>
    <w:basedOn w:val="678"/>
    <w:link w:val="700"/>
    <w:pPr>
      <w:spacing w:after="120" w:line="240" w:lineRule="auto"/>
      <w:widowControl w:val="off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character" w:styleId="700" w:customStyle="1">
    <w:name w:val="Основний текст Знак"/>
    <w:link w:val="699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701">
    <w:name w:val="Strong"/>
    <w:qFormat/>
    <w:rPr>
      <w:b/>
      <w:bCs/>
    </w:rPr>
  </w:style>
  <w:style w:type="character" w:styleId="702" w:customStyle="1">
    <w:name w:val="Заголовок 2 Знак"/>
    <w:link w:val="680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703">
    <w:name w:val="List Paragraph"/>
    <w:basedOn w:val="678"/>
    <w:link w:val="704"/>
    <w:uiPriority w:val="34"/>
    <w:qFormat/>
    <w:pPr>
      <w:contextualSpacing/>
      <w:ind w:left="720"/>
      <w:spacing w:after="0" w:line="240" w:lineRule="auto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704" w:customStyle="1">
    <w:name w:val="Абзац списку Знак"/>
    <w:link w:val="703"/>
    <w:uiPriority w:val="99"/>
    <w:qFormat/>
    <w:rPr>
      <w:rFonts w:eastAsia="Times New Roman" w:cs="Times New Roman"/>
      <w:lang w:eastAsia="ru-RU"/>
    </w:rPr>
  </w:style>
  <w:style w:type="paragraph" w:styleId="705" w:customStyle="1">
    <w:name w:val="Абзац списку1"/>
    <w:basedOn w:val="678"/>
    <w:pPr>
      <w:ind w:left="720"/>
      <w:jc w:val="both"/>
      <w:spacing w:after="0"/>
    </w:pPr>
    <w:rPr>
      <w:rFonts w:ascii="Times New Roman" w:hAnsi="Times New Roman"/>
      <w:sz w:val="24"/>
      <w:szCs w:val="24"/>
    </w:rPr>
  </w:style>
  <w:style w:type="table" w:styleId="706" w:customStyle="1">
    <w:name w:val="Сітка таблиці1"/>
    <w:basedOn w:val="682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7">
    <w:name w:val="Header"/>
    <w:basedOn w:val="678"/>
    <w:link w:val="708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08" w:customStyle="1">
    <w:name w:val="Верхній колонтитул Знак"/>
    <w:basedOn w:val="681"/>
    <w:link w:val="707"/>
    <w:uiPriority w:val="99"/>
    <w:rPr>
      <w:rFonts w:ascii="Calibri" w:hAnsi="Calibri" w:cs="Times New Roman"/>
      <w:sz w:val="22"/>
      <w:szCs w:val="22"/>
      <w:lang w:eastAsia="en-US"/>
    </w:rPr>
  </w:style>
  <w:style w:type="paragraph" w:styleId="709">
    <w:name w:val="Footer"/>
    <w:basedOn w:val="678"/>
    <w:link w:val="710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0" w:customStyle="1">
    <w:name w:val="Нижній колонтитул Знак"/>
    <w:basedOn w:val="681"/>
    <w:link w:val="709"/>
    <w:uiPriority w:val="9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ACF1-1DC0-4868-AB1E-63A5F637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Борсук Ольга Миколаївна</cp:lastModifiedBy>
  <cp:revision>5</cp:revision>
  <dcterms:created xsi:type="dcterms:W3CDTF">2023-09-14T12:38:00Z</dcterms:created>
  <dcterms:modified xsi:type="dcterms:W3CDTF">2023-09-18T08:34:57Z</dcterms:modified>
</cp:coreProperties>
</file>