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Обґрунтування 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технічних та якісних характеристик предмета закупівлі, розміру бюджетного призначення, очікуваної вартості предмета закупівлі</w:t>
      </w:r>
      <w:r/>
    </w:p>
    <w:p>
      <w:pPr>
        <w:contextualSpacing/>
        <w:jc w:val="center"/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(відповідно до пункту </w:t>
      </w:r>
      <w:bookmarkStart w:id="0" w:name="_Hlk94703984"/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Постанови Кабінету Міністрів України від 11 жовтня 2016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№710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«Про ефективне використання державних коштів» </w:t>
      </w:r>
      <w:bookmarkEnd w:id="0"/>
      <w:r>
        <w:rPr>
          <w:rFonts w:ascii="Times New Roman" w:hAnsi="Times New Roman"/>
          <w:sz w:val="28"/>
          <w:szCs w:val="28"/>
        </w:rPr>
        <w:t xml:space="preserve">(зі змінами))</w:t>
      </w:r>
      <w:r/>
    </w:p>
    <w:p>
      <w:pPr>
        <w:contextualSpacing/>
        <w:jc w:val="center"/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1020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528"/>
        <w:gridCol w:w="7087"/>
      </w:tblGrid>
      <w:tr>
        <w:trPr/>
        <w:tc>
          <w:tcPr>
            <w:shd w:val="clear" w:color="auto" w:fill="auto"/>
            <w:tcW w:w="591" w:type="dxa"/>
            <w:vAlign w:val="center"/>
            <w:textDirection w:val="lrTb"/>
            <w:noWrap w:val="false"/>
          </w:tcPr>
          <w:p>
            <w:pPr>
              <w:pStyle w:val="6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W w:w="2528" w:type="dxa"/>
            <w:vAlign w:val="center"/>
            <w:textDirection w:val="lrTb"/>
            <w:noWrap w:val="false"/>
          </w:tcPr>
          <w:p>
            <w:pPr>
              <w:pStyle w:val="69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Замовник </w:t>
            </w:r>
            <w:r/>
          </w:p>
        </w:tc>
        <w:tc>
          <w:tcPr>
            <w:shd w:val="clear" w:color="auto" w:fill="auto"/>
            <w:tcW w:w="7087" w:type="dxa"/>
            <w:vAlign w:val="center"/>
            <w:textDirection w:val="lrTb"/>
            <w:noWrap w:val="false"/>
          </w:tcPr>
          <w:p>
            <w:pPr>
              <w:pStyle w:val="6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Державна установа «Центр обслуговування підрозділів Міністерс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тва внутрішніх справ України»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за ЄДРПОУ 14317108)</w:t>
            </w:r>
            <w:r/>
          </w:p>
        </w:tc>
      </w:tr>
      <w:tr>
        <w:trPr>
          <w:trHeight w:val="783"/>
        </w:trPr>
        <w:tc>
          <w:tcPr>
            <w:shd w:val="clear" w:color="auto" w:fill="auto"/>
            <w:tcW w:w="591" w:type="dxa"/>
            <w:vAlign w:val="center"/>
            <w:textDirection w:val="lrTb"/>
            <w:noWrap w:val="false"/>
          </w:tcPr>
          <w:p>
            <w:pPr>
              <w:pStyle w:val="6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W w:w="2528" w:type="dxa"/>
            <w:vAlign w:val="center"/>
            <w:textDirection w:val="lrTb"/>
            <w:noWrap w:val="false"/>
          </w:tcPr>
          <w:p>
            <w:pPr>
              <w:pStyle w:val="69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предмета закупівлі</w:t>
            </w:r>
            <w:r/>
          </w:p>
        </w:tc>
        <w:tc>
          <w:tcPr>
            <w:shd w:val="clear" w:color="auto" w:fill="auto"/>
            <w:tcW w:w="7087" w:type="dxa"/>
            <w:textDirection w:val="lrTb"/>
            <w:noWrap w:val="false"/>
          </w:tcPr>
          <w:p>
            <w:pPr>
              <w:pStyle w:val="6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за ДК 021:2015 – 30230000-0, Комп’ютерне обладнання </w:t>
            </w:r>
            <w:r/>
          </w:p>
          <w:p>
            <w:pPr>
              <w:pStyle w:val="6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(Принтер)</w:t>
            </w:r>
            <w:r/>
          </w:p>
        </w:tc>
      </w:tr>
      <w:tr>
        <w:trPr/>
        <w:tc>
          <w:tcPr>
            <w:shd w:val="clear" w:color="auto" w:fill="auto"/>
            <w:tcW w:w="591" w:type="dxa"/>
            <w:vAlign w:val="center"/>
            <w:textDirection w:val="lrTb"/>
            <w:noWrap w:val="false"/>
          </w:tcPr>
          <w:p>
            <w:pPr>
              <w:pStyle w:val="6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W w:w="2528" w:type="dxa"/>
            <w:vAlign w:val="center"/>
            <w:textDirection w:val="lrTb"/>
            <w:noWrap w:val="false"/>
          </w:tcPr>
          <w:p>
            <w:pPr>
              <w:pStyle w:val="69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 процедури</w:t>
            </w:r>
            <w:r/>
          </w:p>
        </w:tc>
        <w:tc>
          <w:tcPr>
            <w:shd w:val="clear" w:color="auto" w:fill="auto"/>
            <w:tcW w:w="7087" w:type="dxa"/>
            <w:vAlign w:val="center"/>
            <w:textDirection w:val="lrTb"/>
            <w:noWrap w:val="false"/>
          </w:tcPr>
          <w:p>
            <w:pPr>
              <w:pStyle w:val="6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Відкриті торги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особливостями</w:t>
            </w:r>
            <w:r/>
          </w:p>
        </w:tc>
      </w:tr>
      <w:tr>
        <w:trPr/>
        <w:tc>
          <w:tcPr>
            <w:shd w:val="clear" w:color="auto" w:fill="auto"/>
            <w:tcW w:w="591" w:type="dxa"/>
            <w:vAlign w:val="center"/>
            <w:textDirection w:val="lrTb"/>
            <w:noWrap w:val="false"/>
          </w:tcPr>
          <w:p>
            <w:pPr>
              <w:pStyle w:val="6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auto"/>
            <w:tcW w:w="2528" w:type="dxa"/>
            <w:vAlign w:val="center"/>
            <w:textDirection w:val="lrTb"/>
            <w:noWrap w:val="false"/>
          </w:tcPr>
          <w:p>
            <w:pPr>
              <w:pStyle w:val="69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Ідентифікатор закупівлі</w:t>
            </w:r>
            <w:r/>
          </w:p>
        </w:tc>
        <w:tc>
          <w:tcPr>
            <w:shd w:val="clear" w:color="auto" w:fill="auto"/>
            <w:tcW w:w="7087" w:type="dxa"/>
            <w:vAlign w:val="center"/>
            <w:textDirection w:val="lrTb"/>
            <w:noWrap w:val="false"/>
          </w:tcPr>
          <w:p>
            <w:pPr>
              <w:pStyle w:val="6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UA-2023-09-12-012387-a</w:t>
            </w:r>
            <w:r/>
          </w:p>
        </w:tc>
      </w:tr>
      <w:tr>
        <w:trPr>
          <w:trHeight w:val="3705"/>
        </w:trPr>
        <w:tc>
          <w:tcPr>
            <w:shd w:val="clear" w:color="auto" w:fill="auto"/>
            <w:tcW w:w="591" w:type="dxa"/>
            <w:vAlign w:val="center"/>
            <w:textDirection w:val="lrTb"/>
            <w:noWrap w:val="false"/>
          </w:tcPr>
          <w:p>
            <w:pPr>
              <w:pStyle w:val="6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auto"/>
            <w:tcW w:w="2528" w:type="dxa"/>
            <w:vAlign w:val="center"/>
            <w:textDirection w:val="lrTb"/>
            <w:noWrap w:val="false"/>
          </w:tcPr>
          <w:p>
            <w:pPr>
              <w:pStyle w:val="69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Обґрунтування технічних та якісних характеристик предмета закупівлі</w:t>
            </w:r>
            <w:r/>
          </w:p>
        </w:tc>
        <w:tc>
          <w:tcPr>
            <w:shd w:val="clear" w:color="auto" w:fill="auto"/>
            <w:tcW w:w="7087" w:type="dxa"/>
            <w:textDirection w:val="lrTb"/>
            <w:noWrap w:val="false"/>
          </w:tcPr>
          <w:tbl>
            <w:tblPr>
              <w:tblStyle w:val="684"/>
              <w:tblpPr w:horzAnchor="margin" w:tblpXSpec="left" w:vertAnchor="margin" w:tblpY="420" w:leftFromText="180" w:topFromText="0" w:rightFromText="180" w:bottomFromText="0"/>
              <w:tblW w:w="6760" w:type="dxa"/>
              <w:tblLayout w:type="fixed"/>
              <w:tblLook w:val="04A0" w:firstRow="1" w:lastRow="0" w:firstColumn="1" w:lastColumn="0" w:noHBand="0" w:noVBand="1"/>
            </w:tblPr>
            <w:tblGrid>
              <w:gridCol w:w="1782"/>
              <w:gridCol w:w="4978"/>
            </w:tblGrid>
            <w:tr>
              <w:trPr>
                <w:trHeight w:val="19"/>
                <w:tblHeader/>
              </w:trPr>
              <w:tc>
                <w:tcPr>
                  <w:shd w:val="clear" w:color="auto" w:fill="d9d9d9" w:themeFill="background1" w:themeFillShade="D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782" w:type="dxa"/>
                  <w:textDirection w:val="lrTb"/>
                  <w:noWrap w:val="false"/>
                </w:tcPr>
                <w:p>
                  <w:pPr>
                    <w:jc w:val="center"/>
                    <w:keepNext/>
                    <w:spacing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</w:rPr>
                    <w:t xml:space="preserve">  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br w:type="page" w:clear="all"/>
                  </w:r>
                  <w:r>
                    <w:rPr>
                      <w:rFonts w:ascii="Times New Roman" w:hAnsi="Times New Roman"/>
                      <w:bCs/>
                    </w:rPr>
                    <w:t xml:space="preserve">Найменування</w:t>
                  </w:r>
                  <w:r/>
                </w:p>
              </w:tc>
              <w:tc>
                <w:tcPr>
                  <w:shd w:val="clear" w:color="auto" w:fill="d9d9d9" w:themeFill="background1" w:themeFillShade="D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978" w:type="dxa"/>
                  <w:textDirection w:val="lrTb"/>
                  <w:noWrap w:val="false"/>
                </w:tcPr>
                <w:p>
                  <w:pPr>
                    <w:jc w:val="center"/>
                    <w:keepNext/>
                    <w:spacing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 xml:space="preserve">Характеристики</w:t>
                  </w:r>
                  <w:r/>
                </w:p>
              </w:tc>
            </w:tr>
            <w:tr>
              <w:trPr>
                <w:trHeight w:val="19"/>
              </w:trPr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782" w:type="dxa"/>
                  <w:textDirection w:val="lrTb"/>
                  <w:noWrap w:val="false"/>
                </w:tcPr>
                <w:p>
                  <w:pPr>
                    <w:keepNext/>
                    <w:spacing w:line="240" w:lineRule="auto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 xml:space="preserve">Принтер HP </w:t>
                  </w:r>
                  <w:r>
                    <w:rPr>
                      <w:rFonts w:ascii="Times New Roman" w:hAnsi="Times New Roman"/>
                      <w:bCs/>
                    </w:rPr>
                    <w:t xml:space="preserve">DesignJet</w:t>
                  </w:r>
                  <w:r>
                    <w:rPr>
                      <w:rFonts w:ascii="Times New Roman" w:hAnsi="Times New Roman"/>
                      <w:bCs/>
                    </w:rPr>
                    <w:t xml:space="preserve"> T230 (5HB07A) або еквівалент</w:t>
                  </w:r>
                  <w:r>
                    <w:rPr>
                      <w:rFonts w:ascii="Times New Roman" w:hAnsi="Times New Roman"/>
                      <w:bCs/>
                    </w:rPr>
                    <w:t xml:space="preserve">  - 1 </w:t>
                  </w:r>
                  <w:r>
                    <w:rPr>
                      <w:rFonts w:ascii="Times New Roman" w:hAnsi="Times New Roman"/>
                      <w:bCs/>
                    </w:rPr>
                    <w:t xml:space="preserve">шт</w:t>
                  </w:r>
                  <w:r/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4978" w:type="dxa"/>
                  <w:textDirection w:val="lrTb"/>
                  <w:noWrap w:val="false"/>
                </w:tcPr>
                <w:p>
                  <w:pPr>
                    <w:pStyle w:val="703"/>
                    <w:ind w:left="36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Тип: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плотер</w:t>
                  </w:r>
                  <w:r/>
                </w:p>
                <w:p>
                  <w:pPr>
                    <w:pStyle w:val="703"/>
                    <w:ind w:left="36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Технологія друку: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струменева</w:t>
                  </w:r>
                  <w:r/>
                </w:p>
                <w:p>
                  <w:pPr>
                    <w:pStyle w:val="703"/>
                    <w:ind w:left="36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Палітра друку: кольорова </w:t>
                  </w:r>
                  <w:r/>
                </w:p>
                <w:p>
                  <w:pPr>
                    <w:pStyle w:val="703"/>
                    <w:ind w:left="36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Кількість кольорів: не більше 4</w:t>
                  </w:r>
                  <w:r/>
                </w:p>
                <w:p>
                  <w:pPr>
                    <w:pStyle w:val="703"/>
                    <w:ind w:left="36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Тип чорнила: на основі барвників (C, M, Y); 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пигмент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(К)</w:t>
                  </w:r>
                  <w:r/>
                </w:p>
                <w:p>
                  <w:pPr>
                    <w:pStyle w:val="703"/>
                    <w:ind w:left="36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Формати друку: А4, А3, А2, А1</w:t>
                  </w:r>
                  <w:r/>
                </w:p>
                <w:p>
                  <w:pPr>
                    <w:pStyle w:val="703"/>
                    <w:ind w:left="36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Швидкість друку: 35 секунд на сторінку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формата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А1, 68 відбитків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формата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А1 в годину 1</w:t>
                  </w:r>
                  <w:r/>
                </w:p>
                <w:p>
                  <w:pPr>
                    <w:pStyle w:val="703"/>
                    <w:ind w:left="36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Максимальна роздільна здатність,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dpi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: 2400 x 1200 т/д </w:t>
                  </w:r>
                  <w:r/>
                </w:p>
                <w:p>
                  <w:pPr>
                    <w:pStyle w:val="703"/>
                    <w:ind w:left="36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Точність нанесення ліній: ±0,1 % 6</w:t>
                  </w:r>
                  <w:r/>
                </w:p>
                <w:p>
                  <w:pPr>
                    <w:pStyle w:val="703"/>
                    <w:ind w:left="36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Сумісність з ОС: Растровий драйвер для Windows 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MacOS</w:t>
                  </w:r>
                  <w:r/>
                </w:p>
                <w:p>
                  <w:pPr>
                    <w:pStyle w:val="703"/>
                    <w:ind w:left="36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Мови принтера: JPEG, URF</w:t>
                  </w:r>
                  <w:r/>
                </w:p>
                <w:p>
                  <w:pPr>
                    <w:pStyle w:val="703"/>
                    <w:ind w:left="36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Програмне забезпечення: HP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Click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приложение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HP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Smart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, HP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Print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Preview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для Windows, HP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Easy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Start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, HP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DesignJet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Utility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для Windows, HP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Support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Assistant</w:t>
                  </w:r>
                  <w:r/>
                </w:p>
                <w:p>
                  <w:pPr>
                    <w:pStyle w:val="703"/>
                    <w:ind w:left="36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Стандартні інтерфейси:</w:t>
                  </w:r>
                  <w:r>
                    <w:rPr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Гигабітний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Ethernet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(1000Base-T), високошвидкісний USB 2.0,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Wi-Fi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802.11a/b/g/n,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Wi-Fi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Direct</w:t>
                  </w:r>
                  <w:r/>
                </w:p>
                <w:p>
                  <w:pPr>
                    <w:pStyle w:val="703"/>
                    <w:ind w:left="36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Стандартна пам’ять, не менше: 512 МБ</w:t>
                  </w:r>
                  <w:r/>
                </w:p>
                <w:p>
                  <w:pPr>
                    <w:pStyle w:val="703"/>
                    <w:ind w:left="36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Місткість чорнильниць, не менше: 80мл (К); 38 мл (К); 29 мл (Ц, М, Y)</w:t>
                  </w:r>
                  <w:r/>
                </w:p>
                <w:p>
                  <w:pPr>
                    <w:pStyle w:val="703"/>
                    <w:ind w:left="360"/>
                    <w:rPr>
                      <w:b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u w:val="single"/>
                    </w:rPr>
                    <w:t xml:space="preserve">Параметри паперу</w:t>
                  </w:r>
                  <w:r/>
                </w:p>
                <w:p>
                  <w:pPr>
                    <w:pStyle w:val="703"/>
                    <w:ind w:left="36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Максимальна/мінімальна ширина листів, мм: 610 (від 210 х 279 до 610 х 1897 мм)</w:t>
                  </w:r>
                  <w:r/>
                </w:p>
                <w:p>
                  <w:pPr>
                    <w:pStyle w:val="703"/>
                    <w:ind w:left="36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Максимальна товщина листів, мм: До 0,3 мм</w:t>
                  </w:r>
                  <w:r/>
                </w:p>
                <w:p>
                  <w:pPr>
                    <w:pStyle w:val="703"/>
                    <w:ind w:left="36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Зовнішній діаметр рулонного носія: 100 мм</w:t>
                  </w:r>
                  <w:r/>
                </w:p>
                <w:p>
                  <w:pPr>
                    <w:pStyle w:val="703"/>
                    <w:ind w:left="36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щільність носіїв:</w:t>
                  </w:r>
                  <w:r>
                    <w:rPr>
                      <w:color w:val="000000"/>
                      <w:sz w:val="24"/>
                      <w:szCs w:val="24"/>
                    </w:rPr>
                    <w:tab/>
                    <w:t xml:space="preserve">від 60 до 280 г/м2;</w:t>
                  </w:r>
                  <w:r/>
                </w:p>
                <w:p>
                  <w:pPr>
                    <w:pStyle w:val="703"/>
                    <w:ind w:left="36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віддалений друк: наявний</w:t>
                  </w:r>
                  <w:r/>
                </w:p>
                <w:p>
                  <w:pPr>
                    <w:pStyle w:val="703"/>
                    <w:ind w:left="36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енергоспоживання: &lt; 35 Вт (друк), &lt; 5,6 Вт (в режимі готовності), &lt; 2,1 Вт (в режимі сні), &lt; 0,2 Вт (у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віключеному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стані)</w:t>
                  </w:r>
                  <w:r/>
                </w:p>
                <w:p>
                  <w:pPr>
                    <w:pStyle w:val="703"/>
                    <w:ind w:left="36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Гарантія, не менше: 12 місяців</w:t>
                  </w:r>
                  <w:r/>
                </w:p>
                <w:p>
                  <w:pPr>
                    <w:pStyle w:val="703"/>
                    <w:contextualSpacing w:val="0"/>
                    <w:ind w:left="360"/>
                    <w:widowControl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комплектація: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плотер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, друкуюча голівка, шпиндель, стартові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картриджи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, 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інструкці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користувача, плакат по налаштуванню, шнур живлення</w:t>
                  </w:r>
                  <w:r/>
                </w:p>
              </w:tc>
            </w:tr>
          </w:tbl>
          <w:p>
            <w:pPr>
              <w:ind w:firstLine="408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lang w:eastAsia="ru-RU"/>
              </w:rPr>
            </w:r>
            <w:r/>
          </w:p>
        </w:tc>
      </w:tr>
      <w:tr>
        <w:trPr/>
        <w:tc>
          <w:tcPr>
            <w:shd w:val="clear" w:color="auto" w:fill="auto"/>
            <w:tcW w:w="591" w:type="dxa"/>
            <w:vAlign w:val="center"/>
            <w:textDirection w:val="lrTb"/>
            <w:noWrap w:val="false"/>
          </w:tcPr>
          <w:p>
            <w:pPr>
              <w:pStyle w:val="697"/>
              <w:jc w:val="both"/>
              <w:rPr>
                <w:rFonts w:ascii="Times New Roman" w:hAnsi="Times New Roman"/>
                <w:sz w:val="24"/>
                <w:szCs w:val="24"/>
              </w:rPr>
            </w:pPr>
            <w:r/>
            <w:bookmarkStart w:id="1" w:name="_GoBack"/>
            <w:r/>
            <w:bookmarkEnd w:id="1"/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auto" w:fill="auto"/>
            <w:tcW w:w="2528" w:type="dxa"/>
            <w:vAlign w:val="center"/>
            <w:textDirection w:val="lrTb"/>
            <w:noWrap w:val="false"/>
          </w:tcPr>
          <w:p>
            <w:pPr>
              <w:pStyle w:val="69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  <w:r/>
          </w:p>
        </w:tc>
        <w:tc>
          <w:tcPr>
            <w:shd w:val="clear" w:color="auto" w:fill="auto"/>
            <w:tcW w:w="7087" w:type="dxa"/>
            <w:vAlign w:val="center"/>
            <w:textDirection w:val="lrTb"/>
            <w:noWrap w:val="false"/>
          </w:tcPr>
          <w:p>
            <w:pPr>
              <w:pStyle w:val="6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Розмір бюджетного призначення визначено з урахуванням потреби на 202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 рік та в межах передбачених у кошторисі на 202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 рік бюджетних асигнувань  за бюджетною програмою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«Реалізація державної політики у сфері внутрішніх справ, забезпечення діяльності органів, установ та закладів Міністерства внутрішніх справ України» КПКВК 1001050</w:t>
            </w:r>
            <w:r/>
          </w:p>
        </w:tc>
      </w:tr>
      <w:tr>
        <w:trPr>
          <w:trHeight w:val="747"/>
        </w:trPr>
        <w:tc>
          <w:tcPr>
            <w:shd w:val="clear" w:color="auto" w:fill="auto"/>
            <w:tcW w:w="591" w:type="dxa"/>
            <w:vAlign w:val="center"/>
            <w:textDirection w:val="lrTb"/>
            <w:noWrap w:val="false"/>
          </w:tcPr>
          <w:p>
            <w:pPr>
              <w:pStyle w:val="6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shd w:val="clear" w:color="auto" w:fill="auto"/>
            <w:tcW w:w="2528" w:type="dxa"/>
            <w:vAlign w:val="center"/>
            <w:textDirection w:val="lrTb"/>
            <w:noWrap w:val="false"/>
          </w:tcPr>
          <w:p>
            <w:pPr>
              <w:pStyle w:val="697"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Очікувана вартість предмета закупівлі</w:t>
            </w:r>
            <w:r/>
          </w:p>
        </w:tc>
        <w:tc>
          <w:tcPr>
            <w:shd w:val="clear" w:color="auto" w:fill="auto"/>
            <w:tcW w:w="7087" w:type="dxa"/>
            <w:vAlign w:val="center"/>
            <w:textDirection w:val="lrTb"/>
            <w:noWrap w:val="false"/>
          </w:tcPr>
          <w:p>
            <w:pPr>
              <w:pStyle w:val="697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35 500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грн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auto"/>
            <w:tcW w:w="591" w:type="dxa"/>
            <w:vAlign w:val="center"/>
            <w:textDirection w:val="lrTb"/>
            <w:noWrap w:val="false"/>
          </w:tcPr>
          <w:p>
            <w:pPr>
              <w:pStyle w:val="6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shd w:val="clear" w:color="auto" w:fill="auto"/>
            <w:tcW w:w="2528" w:type="dxa"/>
            <w:vAlign w:val="center"/>
            <w:textDirection w:val="lrTb"/>
            <w:noWrap w:val="false"/>
          </w:tcPr>
          <w:p>
            <w:pPr>
              <w:pStyle w:val="697"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Обґрунтування очікуваної вартості предмета закупівлі</w:t>
            </w:r>
            <w:r/>
          </w:p>
        </w:tc>
        <w:tc>
          <w:tcPr>
            <w:shd w:val="clear" w:color="auto" w:fill="auto"/>
            <w:tcW w:w="7087" w:type="dxa"/>
            <w:vAlign w:val="center"/>
            <w:textDirection w:val="lrTb"/>
            <w:noWrap w:val="false"/>
          </w:tcPr>
          <w:p>
            <w:pPr>
              <w:pStyle w:val="697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Очікувана вартість визначена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18.02.2020р.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275 (зі змінами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методом порівняння ринкових цін.</w:t>
            </w:r>
            <w:r/>
          </w:p>
        </w:tc>
      </w:tr>
    </w:tbl>
    <w:p>
      <w:pPr>
        <w:pStyle w:val="6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 CYR">
    <w:panose1 w:val="02020603050405020304"/>
  </w:font>
  <w:font w:name="Segoe UI">
    <w:panose1 w:val="020B0502040504020204"/>
  </w:font>
  <w:font w:name="Calibri Light">
    <w:panose1 w:val="020F05020202040302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21320008"/>
      <w:docPartObj>
        <w:docPartGallery w:val="Page Numbers (Top of Page)"/>
        <w:docPartUnique w:val="true"/>
      </w:docPartObj>
      <w:rPr/>
    </w:sdtPr>
    <w:sdtContent>
      <w:p>
        <w:pPr>
          <w:pStyle w:val="70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70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6" w:hanging="360"/>
        <w:tabs>
          <w:tab w:val="num" w:pos="786" w:leader="none"/>
        </w:tabs>
      </w:pPr>
      <w:rPr>
        <w:color w:val="auto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269" w:hanging="128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1">
      <w:start w:val="1"/>
      <w:numFmt w:val="bullet"/>
      <w:isLgl w:val="false"/>
      <w:suff w:val="nothing"/>
      <w:lvlText w:val="o"/>
      <w:lvlJc w:val="left"/>
      <w:pPr>
        <w:ind w:left="989" w:hanging="128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673" w:hanging="494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3">
      <w:start w:val="1"/>
      <w:numFmt w:val="bullet"/>
      <w:isLgl w:val="false"/>
      <w:suff w:val="tab"/>
      <w:lvlText w:val="·"/>
      <w:lvlJc w:val="left"/>
      <w:pPr>
        <w:ind w:left="2429" w:hanging="128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4">
      <w:start w:val="1"/>
      <w:numFmt w:val="bullet"/>
      <w:isLgl w:val="false"/>
      <w:suff w:val="nothing"/>
      <w:lvlText w:val="o"/>
      <w:lvlJc w:val="left"/>
      <w:pPr>
        <w:ind w:left="3149" w:hanging="128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3836" w:hanging="461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6">
      <w:start w:val="1"/>
      <w:numFmt w:val="bullet"/>
      <w:isLgl w:val="false"/>
      <w:suff w:val="tab"/>
      <w:lvlText w:val="·"/>
      <w:lvlJc w:val="left"/>
      <w:pPr>
        <w:ind w:left="4589" w:hanging="128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7">
      <w:start w:val="1"/>
      <w:numFmt w:val="bullet"/>
      <w:isLgl w:val="false"/>
      <w:suff w:val="nothing"/>
      <w:lvlText w:val="o"/>
      <w:lvlJc w:val="left"/>
      <w:pPr>
        <w:ind w:left="5309" w:hanging="128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5999" w:hanging="428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4" w:hanging="375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multiLevelType w:val="hybridMultilevel"/>
    <w:lvl w:ilvl="0">
      <w:start w:val="10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269" w:hanging="128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1">
      <w:start w:val="1"/>
      <w:numFmt w:val="bullet"/>
      <w:isLgl w:val="false"/>
      <w:suff w:val="nothing"/>
      <w:lvlText w:val="o"/>
      <w:lvlJc w:val="left"/>
      <w:pPr>
        <w:ind w:left="989" w:hanging="128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673" w:hanging="494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3">
      <w:start w:val="1"/>
      <w:numFmt w:val="bullet"/>
      <w:isLgl w:val="false"/>
      <w:suff w:val="tab"/>
      <w:lvlText w:val="·"/>
      <w:lvlJc w:val="left"/>
      <w:pPr>
        <w:ind w:left="2429" w:hanging="128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4">
      <w:start w:val="1"/>
      <w:numFmt w:val="bullet"/>
      <w:isLgl w:val="false"/>
      <w:suff w:val="nothing"/>
      <w:lvlText w:val="o"/>
      <w:lvlJc w:val="left"/>
      <w:pPr>
        <w:ind w:left="3149" w:hanging="128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3836" w:hanging="461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6">
      <w:start w:val="1"/>
      <w:numFmt w:val="bullet"/>
      <w:isLgl w:val="false"/>
      <w:suff w:val="tab"/>
      <w:lvlText w:val="·"/>
      <w:lvlJc w:val="left"/>
      <w:pPr>
        <w:ind w:left="4589" w:hanging="128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7">
      <w:start w:val="1"/>
      <w:numFmt w:val="bullet"/>
      <w:isLgl w:val="false"/>
      <w:suff w:val="nothing"/>
      <w:lvlText w:val="o"/>
      <w:lvlJc w:val="left"/>
      <w:pPr>
        <w:ind w:left="5309" w:hanging="128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5999" w:hanging="428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Calibri" w:cs="Calibri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81"/>
    <w:link w:val="679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81"/>
    <w:link w:val="680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78"/>
    <w:next w:val="67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8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78"/>
    <w:next w:val="67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8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78"/>
    <w:next w:val="67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8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78"/>
    <w:next w:val="67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8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78"/>
    <w:next w:val="67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8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78"/>
    <w:next w:val="67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8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78"/>
    <w:next w:val="67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8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678"/>
    <w:next w:val="67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81"/>
    <w:link w:val="33"/>
    <w:uiPriority w:val="10"/>
    <w:rPr>
      <w:sz w:val="48"/>
      <w:szCs w:val="48"/>
    </w:rPr>
  </w:style>
  <w:style w:type="paragraph" w:styleId="35">
    <w:name w:val="Subtitle"/>
    <w:basedOn w:val="678"/>
    <w:next w:val="67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81"/>
    <w:link w:val="35"/>
    <w:uiPriority w:val="11"/>
    <w:rPr>
      <w:sz w:val="24"/>
      <w:szCs w:val="24"/>
    </w:rPr>
  </w:style>
  <w:style w:type="paragraph" w:styleId="37">
    <w:name w:val="Quote"/>
    <w:basedOn w:val="678"/>
    <w:next w:val="67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78"/>
    <w:next w:val="67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81"/>
    <w:link w:val="707"/>
    <w:uiPriority w:val="99"/>
  </w:style>
  <w:style w:type="character" w:styleId="44">
    <w:name w:val="Footer Char"/>
    <w:basedOn w:val="681"/>
    <w:link w:val="709"/>
    <w:uiPriority w:val="99"/>
  </w:style>
  <w:style w:type="paragraph" w:styleId="45">
    <w:name w:val="Caption"/>
    <w:basedOn w:val="678"/>
    <w:next w:val="67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709"/>
    <w:uiPriority w:val="99"/>
  </w:style>
  <w:style w:type="table" w:styleId="48">
    <w:name w:val="Table Grid Light"/>
    <w:basedOn w:val="68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8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8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4">
    <w:name w:val="Lined - Accent 2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8">
    <w:name w:val="Lined - Accent 6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1">
    <w:name w:val="Bordered &amp; Lined - Accent 2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5">
    <w:name w:val="Bordered &amp; Lined - Accent 6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7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81"/>
    <w:uiPriority w:val="99"/>
    <w:unhideWhenUsed/>
    <w:rPr>
      <w:vertAlign w:val="superscript"/>
    </w:rPr>
  </w:style>
  <w:style w:type="paragraph" w:styleId="177">
    <w:name w:val="endnote text"/>
    <w:basedOn w:val="67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81"/>
    <w:uiPriority w:val="99"/>
    <w:semiHidden/>
    <w:unhideWhenUsed/>
    <w:rPr>
      <w:vertAlign w:val="superscript"/>
    </w:rPr>
  </w:style>
  <w:style w:type="paragraph" w:styleId="180">
    <w:name w:val="toc 1"/>
    <w:basedOn w:val="678"/>
    <w:next w:val="67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78"/>
    <w:next w:val="67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78"/>
    <w:next w:val="67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78"/>
    <w:next w:val="67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78"/>
    <w:next w:val="67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78"/>
    <w:next w:val="67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78"/>
    <w:next w:val="67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78"/>
    <w:next w:val="67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78"/>
    <w:next w:val="67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78"/>
    <w:next w:val="678"/>
    <w:uiPriority w:val="99"/>
    <w:unhideWhenUsed/>
    <w:pPr>
      <w:spacing w:after="0" w:afterAutospacing="0"/>
    </w:pPr>
  </w:style>
  <w:style w:type="paragraph" w:styleId="678" w:default="1">
    <w:name w:val="Normal"/>
    <w:qFormat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679">
    <w:name w:val="Heading 1"/>
    <w:basedOn w:val="678"/>
    <w:link w:val="685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/>
      <w:b/>
      <w:bCs/>
      <w:sz w:val="48"/>
      <w:szCs w:val="48"/>
      <w:lang w:eastAsia="uk-UA"/>
    </w:rPr>
  </w:style>
  <w:style w:type="paragraph" w:styleId="680">
    <w:name w:val="Heading 2"/>
    <w:basedOn w:val="678"/>
    <w:next w:val="678"/>
    <w:link w:val="702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/>
      <w:b/>
      <w:bCs/>
      <w:i/>
      <w:iCs/>
      <w:sz w:val="28"/>
      <w:szCs w:val="28"/>
    </w:rPr>
  </w:style>
  <w:style w:type="character" w:styleId="681" w:default="1">
    <w:name w:val="Default Paragraph Font"/>
    <w:uiPriority w:val="1"/>
    <w:unhideWhenUsed/>
  </w:style>
  <w:style w:type="table" w:styleId="68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3" w:default="1">
    <w:name w:val="No List"/>
    <w:uiPriority w:val="99"/>
    <w:semiHidden/>
    <w:unhideWhenUsed/>
  </w:style>
  <w:style w:type="table" w:styleId="684">
    <w:name w:val="Table Grid"/>
    <w:basedOn w:val="682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85" w:customStyle="1">
    <w:name w:val="Заголовок 1 Знак"/>
    <w:link w:val="679"/>
    <w:uiPriority w:val="9"/>
    <w:rPr>
      <w:rFonts w:eastAsia="Times New Roman" w:cs="Times New Roman"/>
      <w:b/>
      <w:bCs/>
      <w:sz w:val="48"/>
      <w:szCs w:val="48"/>
      <w:lang w:eastAsia="uk-UA"/>
    </w:rPr>
  </w:style>
  <w:style w:type="character" w:styleId="686" w:customStyle="1">
    <w:name w:val="qa_buget"/>
    <w:basedOn w:val="681"/>
  </w:style>
  <w:style w:type="character" w:styleId="687" w:customStyle="1">
    <w:name w:val="qa_code"/>
    <w:basedOn w:val="681"/>
  </w:style>
  <w:style w:type="paragraph" w:styleId="688">
    <w:name w:val="Balloon Text"/>
    <w:basedOn w:val="678"/>
    <w:link w:val="689"/>
    <w:uiPriority w:val="99"/>
    <w:unhideWhenUsed/>
    <w:pPr>
      <w:spacing w:after="0" w:line="240" w:lineRule="auto"/>
    </w:pPr>
    <w:rPr>
      <w:rFonts w:ascii="Segoe UI" w:hAnsi="Segoe UI"/>
      <w:sz w:val="18"/>
      <w:szCs w:val="18"/>
    </w:rPr>
  </w:style>
  <w:style w:type="character" w:styleId="689" w:customStyle="1">
    <w:name w:val="Текст у виносці Знак"/>
    <w:link w:val="688"/>
    <w:uiPriority w:val="99"/>
    <w:rPr>
      <w:rFonts w:ascii="Segoe UI" w:hAnsi="Segoe UI" w:cs="Segoe UI"/>
      <w:sz w:val="18"/>
      <w:szCs w:val="18"/>
    </w:rPr>
  </w:style>
  <w:style w:type="character" w:styleId="690" w:customStyle="1">
    <w:name w:val="h-hidden"/>
  </w:style>
  <w:style w:type="character" w:styleId="691">
    <w:name w:val="Hyperlink"/>
    <w:uiPriority w:val="99"/>
    <w:semiHidden/>
    <w:unhideWhenUsed/>
    <w:rPr>
      <w:color w:val="0000ff"/>
      <w:u w:val="single"/>
    </w:rPr>
  </w:style>
  <w:style w:type="character" w:styleId="692">
    <w:name w:val="annotation reference"/>
    <w:uiPriority w:val="99"/>
    <w:semiHidden/>
    <w:unhideWhenUsed/>
    <w:rPr>
      <w:sz w:val="16"/>
      <w:szCs w:val="16"/>
    </w:rPr>
  </w:style>
  <w:style w:type="paragraph" w:styleId="693">
    <w:name w:val="annotation text"/>
    <w:basedOn w:val="678"/>
    <w:link w:val="694"/>
    <w:uiPriority w:val="99"/>
    <w:semiHidden/>
    <w:unhideWhenUsed/>
    <w:rPr>
      <w:sz w:val="20"/>
      <w:szCs w:val="20"/>
    </w:rPr>
  </w:style>
  <w:style w:type="character" w:styleId="694" w:customStyle="1">
    <w:name w:val="Текст примітки Знак"/>
    <w:link w:val="693"/>
    <w:uiPriority w:val="99"/>
    <w:semiHidden/>
    <w:rPr>
      <w:rFonts w:ascii="Calibri" w:hAnsi="Calibri" w:cs="Times New Roman"/>
      <w:lang w:eastAsia="en-US"/>
    </w:rPr>
  </w:style>
  <w:style w:type="paragraph" w:styleId="695">
    <w:name w:val="annotation subject"/>
    <w:basedOn w:val="693"/>
    <w:next w:val="693"/>
    <w:link w:val="696"/>
    <w:uiPriority w:val="99"/>
    <w:semiHidden/>
    <w:unhideWhenUsed/>
    <w:rPr>
      <w:b/>
      <w:bCs/>
    </w:rPr>
  </w:style>
  <w:style w:type="character" w:styleId="696" w:customStyle="1">
    <w:name w:val="Тема примітки Знак"/>
    <w:link w:val="695"/>
    <w:uiPriority w:val="99"/>
    <w:semiHidden/>
    <w:rPr>
      <w:rFonts w:ascii="Calibri" w:hAnsi="Calibri" w:cs="Times New Roman"/>
      <w:b/>
      <w:bCs/>
      <w:lang w:eastAsia="en-US"/>
    </w:rPr>
  </w:style>
  <w:style w:type="paragraph" w:styleId="697">
    <w:name w:val="No Spacing"/>
    <w:link w:val="698"/>
    <w:qFormat/>
    <w:rPr>
      <w:rFonts w:ascii="Calibri" w:hAnsi="Calibri" w:cs="Times New Roman"/>
      <w:sz w:val="22"/>
      <w:szCs w:val="22"/>
      <w:lang w:eastAsia="en-US"/>
    </w:rPr>
  </w:style>
  <w:style w:type="character" w:styleId="698" w:customStyle="1">
    <w:name w:val="Без інтервалів Знак"/>
    <w:link w:val="697"/>
    <w:rPr>
      <w:rFonts w:ascii="Calibri" w:hAnsi="Calibri" w:cs="Times New Roman"/>
      <w:sz w:val="22"/>
      <w:szCs w:val="22"/>
      <w:lang w:eastAsia="en-US"/>
    </w:rPr>
  </w:style>
  <w:style w:type="paragraph" w:styleId="699">
    <w:name w:val="Body Text"/>
    <w:basedOn w:val="678"/>
    <w:link w:val="700"/>
    <w:pPr>
      <w:spacing w:after="120" w:line="240" w:lineRule="auto"/>
      <w:widowControl w:val="off"/>
    </w:pPr>
    <w:rPr>
      <w:rFonts w:ascii="Times New Roman CYR" w:hAnsi="Times New Roman CYR" w:eastAsia="Times New Roman"/>
      <w:sz w:val="24"/>
      <w:szCs w:val="24"/>
      <w:lang w:val="ru-RU" w:eastAsia="ru-RU"/>
    </w:rPr>
  </w:style>
  <w:style w:type="character" w:styleId="700" w:customStyle="1">
    <w:name w:val="Основний текст Знак"/>
    <w:link w:val="699"/>
    <w:rPr>
      <w:rFonts w:ascii="Times New Roman CYR" w:hAnsi="Times New Roman CYR" w:eastAsia="Times New Roman" w:cs="Times New Roman"/>
      <w:sz w:val="24"/>
      <w:szCs w:val="24"/>
      <w:lang w:val="ru-RU" w:eastAsia="ru-RU"/>
    </w:rPr>
  </w:style>
  <w:style w:type="character" w:styleId="701">
    <w:name w:val="Strong"/>
    <w:qFormat/>
    <w:rPr>
      <w:b/>
      <w:bCs/>
    </w:rPr>
  </w:style>
  <w:style w:type="character" w:styleId="702" w:customStyle="1">
    <w:name w:val="Заголовок 2 Знак"/>
    <w:link w:val="680"/>
    <w:uiPriority w:val="9"/>
    <w:rPr>
      <w:rFonts w:ascii="Calibri Light" w:hAnsi="Calibri Light" w:eastAsia="Times New Roman" w:cs="Times New Roman"/>
      <w:b/>
      <w:bCs/>
      <w:i/>
      <w:iCs/>
      <w:sz w:val="28"/>
      <w:szCs w:val="28"/>
      <w:lang w:eastAsia="en-US"/>
    </w:rPr>
  </w:style>
  <w:style w:type="paragraph" w:styleId="703">
    <w:name w:val="List Paragraph"/>
    <w:basedOn w:val="678"/>
    <w:link w:val="704"/>
    <w:uiPriority w:val="34"/>
    <w:qFormat/>
    <w:pPr>
      <w:contextualSpacing/>
      <w:ind w:left="720"/>
      <w:spacing w:after="0" w:line="240" w:lineRule="auto"/>
      <w:widowControl w:val="off"/>
    </w:pPr>
    <w:rPr>
      <w:rFonts w:ascii="Times New Roman" w:hAnsi="Times New Roman" w:eastAsia="Times New Roman"/>
      <w:sz w:val="20"/>
      <w:szCs w:val="20"/>
      <w:lang w:eastAsia="ru-RU"/>
    </w:rPr>
  </w:style>
  <w:style w:type="character" w:styleId="704" w:customStyle="1">
    <w:name w:val="Абзац списку Знак"/>
    <w:link w:val="703"/>
    <w:uiPriority w:val="34"/>
    <w:qFormat/>
    <w:rPr>
      <w:rFonts w:eastAsia="Times New Roman" w:cs="Times New Roman"/>
      <w:lang w:eastAsia="ru-RU"/>
    </w:rPr>
  </w:style>
  <w:style w:type="paragraph" w:styleId="705" w:customStyle="1">
    <w:name w:val="Абзац списку1"/>
    <w:basedOn w:val="678"/>
    <w:pPr>
      <w:ind w:left="720"/>
      <w:jc w:val="both"/>
      <w:spacing w:after="0"/>
    </w:pPr>
    <w:rPr>
      <w:rFonts w:ascii="Times New Roman" w:hAnsi="Times New Roman"/>
      <w:sz w:val="24"/>
      <w:szCs w:val="24"/>
    </w:rPr>
  </w:style>
  <w:style w:type="table" w:styleId="706" w:customStyle="1">
    <w:name w:val="Сітка таблиці1"/>
    <w:basedOn w:val="682"/>
    <w:uiPriority w:val="3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07">
    <w:name w:val="Header"/>
    <w:basedOn w:val="678"/>
    <w:link w:val="708"/>
    <w:uiPriority w:val="99"/>
    <w:unhideWhenUsed/>
    <w:pPr>
      <w:spacing w:after="0" w:line="240" w:lineRule="auto"/>
      <w:tabs>
        <w:tab w:val="center" w:pos="4819" w:leader="none"/>
        <w:tab w:val="right" w:pos="9639" w:leader="none"/>
      </w:tabs>
    </w:pPr>
  </w:style>
  <w:style w:type="character" w:styleId="708" w:customStyle="1">
    <w:name w:val="Верхній колонтитул Знак"/>
    <w:basedOn w:val="681"/>
    <w:link w:val="707"/>
    <w:uiPriority w:val="99"/>
    <w:rPr>
      <w:rFonts w:ascii="Calibri" w:hAnsi="Calibri" w:cs="Times New Roman"/>
      <w:sz w:val="22"/>
      <w:szCs w:val="22"/>
      <w:lang w:eastAsia="en-US"/>
    </w:rPr>
  </w:style>
  <w:style w:type="paragraph" w:styleId="709">
    <w:name w:val="Footer"/>
    <w:basedOn w:val="678"/>
    <w:link w:val="710"/>
    <w:uiPriority w:val="99"/>
    <w:unhideWhenUsed/>
    <w:pPr>
      <w:spacing w:after="0" w:line="240" w:lineRule="auto"/>
      <w:tabs>
        <w:tab w:val="center" w:pos="4819" w:leader="none"/>
        <w:tab w:val="right" w:pos="9639" w:leader="none"/>
      </w:tabs>
    </w:pPr>
  </w:style>
  <w:style w:type="character" w:styleId="710" w:customStyle="1">
    <w:name w:val="Нижній колонтитул Знак"/>
    <w:basedOn w:val="681"/>
    <w:link w:val="709"/>
    <w:uiPriority w:val="99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EAF32-FDB4-4053-9FE1-80C179B6F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ONLYOFFICE/7.2.2.56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Борсук Ольга Миколаївна</cp:lastModifiedBy>
  <cp:revision>5</cp:revision>
  <dcterms:created xsi:type="dcterms:W3CDTF">2023-09-15T07:04:00Z</dcterms:created>
  <dcterms:modified xsi:type="dcterms:W3CDTF">2023-09-18T08:34:38Z</dcterms:modified>
</cp:coreProperties>
</file>