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rsidTr="00AF37E4">
        <w:tc>
          <w:tcPr>
            <w:tcW w:w="591" w:type="dxa"/>
            <w:shd w:val="clear" w:color="auto" w:fill="auto"/>
            <w:vAlign w:val="center"/>
          </w:tcPr>
          <w:p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Міністерства внутрішніх справ України» ( код за ЄДРПОУ 14317108)</w:t>
            </w:r>
          </w:p>
        </w:tc>
      </w:tr>
      <w:tr w:rsidR="00FB480F" w:rsidRPr="00B22825" w:rsidTr="00AF37E4">
        <w:trPr>
          <w:trHeight w:val="783"/>
        </w:trPr>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rsidR="00FB480F" w:rsidRPr="00C31505" w:rsidRDefault="00966532" w:rsidP="00916FE0">
            <w:pPr>
              <w:pStyle w:val="ac"/>
              <w:rPr>
                <w:rFonts w:ascii="Times New Roman" w:hAnsi="Times New Roman"/>
                <w:sz w:val="24"/>
                <w:szCs w:val="24"/>
              </w:rPr>
            </w:pPr>
            <w:r w:rsidRPr="00966532">
              <w:rPr>
                <w:rFonts w:ascii="Times New Roman" w:hAnsi="Times New Roman"/>
                <w:sz w:val="24"/>
                <w:szCs w:val="24"/>
              </w:rPr>
              <w:t>код за ДК 021:2015 - 90520000-8 Послуги у сфері поводження з радіоактивними, токсичними, медичними та небезпечними відходами (Послуги з утилізації відпрацьованих та списаних картриджів)</w:t>
            </w:r>
          </w:p>
        </w:tc>
      </w:tr>
      <w:tr w:rsidR="00FB480F" w:rsidRPr="00B22825" w:rsidTr="00AF37E4">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rsidTr="00AF37E4">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rsidR="00FB480F" w:rsidRPr="00C31505" w:rsidRDefault="00966532" w:rsidP="00D07FF5">
            <w:pPr>
              <w:pStyle w:val="ac"/>
              <w:rPr>
                <w:rFonts w:ascii="Times New Roman" w:hAnsi="Times New Roman"/>
                <w:sz w:val="24"/>
                <w:szCs w:val="24"/>
              </w:rPr>
            </w:pPr>
            <w:r w:rsidRPr="00966532">
              <w:rPr>
                <w:rFonts w:ascii="Times New Roman" w:hAnsi="Times New Roman"/>
                <w:sz w:val="24"/>
                <w:szCs w:val="24"/>
              </w:rPr>
              <w:t>UA-2023-08-31-005313-a</w:t>
            </w:r>
          </w:p>
        </w:tc>
      </w:tr>
      <w:tr w:rsidR="00FB480F" w:rsidRPr="00B22825" w:rsidTr="0080606A">
        <w:trPr>
          <w:trHeight w:val="983"/>
        </w:trPr>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rsidR="00966532" w:rsidRDefault="00966532" w:rsidP="007C68CE">
            <w:pPr>
              <w:spacing w:after="0" w:line="240" w:lineRule="auto"/>
              <w:ind w:firstLine="408"/>
              <w:jc w:val="center"/>
              <w:rPr>
                <w:rFonts w:ascii="Times New Roman" w:eastAsia="Times New Roman" w:hAnsi="Times New Roman"/>
                <w:b/>
                <w:sz w:val="24"/>
                <w:lang w:eastAsia="ru-RU"/>
              </w:rPr>
            </w:pPr>
          </w:p>
          <w:p w:rsidR="00966532" w:rsidRPr="00966532" w:rsidRDefault="00966532" w:rsidP="00966532">
            <w:pPr>
              <w:spacing w:after="0" w:line="240" w:lineRule="auto"/>
              <w:rPr>
                <w:rFonts w:ascii="Times New Roman" w:eastAsia="Times New Roman" w:hAnsi="Times New Roman"/>
                <w:b/>
                <w:sz w:val="24"/>
                <w:lang w:val="ru-RU" w:eastAsia="ru-RU"/>
              </w:rPr>
            </w:pPr>
            <w:r w:rsidRPr="00966532">
              <w:rPr>
                <w:rFonts w:ascii="Times New Roman" w:hAnsi="Times New Roman"/>
                <w:sz w:val="24"/>
                <w:szCs w:val="24"/>
              </w:rPr>
              <w:t>Послуги з утилізації відпрацьованих та списаних картриджів</w:t>
            </w:r>
            <w:r>
              <w:rPr>
                <w:rFonts w:ascii="Times New Roman" w:hAnsi="Times New Roman"/>
                <w:sz w:val="24"/>
                <w:szCs w:val="24"/>
                <w:lang w:val="ru-RU"/>
              </w:rPr>
              <w:t xml:space="preserve"> – 5269 </w:t>
            </w:r>
            <w:proofErr w:type="spellStart"/>
            <w:r>
              <w:rPr>
                <w:rFonts w:ascii="Times New Roman" w:hAnsi="Times New Roman"/>
                <w:sz w:val="24"/>
                <w:szCs w:val="24"/>
                <w:lang w:val="ru-RU"/>
              </w:rPr>
              <w:t>шт</w:t>
            </w:r>
            <w:proofErr w:type="spellEnd"/>
          </w:p>
          <w:p w:rsidR="00966532" w:rsidRPr="00966532" w:rsidRDefault="00966532" w:rsidP="00966532">
            <w:pPr>
              <w:spacing w:after="0" w:line="20" w:lineRule="atLeast"/>
              <w:ind w:right="282" w:firstLine="426"/>
              <w:contextualSpacing/>
              <w:jc w:val="both"/>
              <w:rPr>
                <w:rFonts w:ascii="Times New Roman" w:hAnsi="Times New Roman"/>
                <w:sz w:val="24"/>
                <w:szCs w:val="24"/>
              </w:rPr>
            </w:pPr>
            <w:r w:rsidRPr="00966532">
              <w:rPr>
                <w:rFonts w:ascii="Times New Roman" w:hAnsi="Times New Roman"/>
                <w:sz w:val="24"/>
                <w:szCs w:val="24"/>
              </w:rPr>
              <w:t xml:space="preserve">Виконавець здійснює вивезення картриджів (відходів) згідно з заявкою Замовника </w:t>
            </w:r>
            <w:r w:rsidRPr="00966532">
              <w:rPr>
                <w:rFonts w:ascii="Times New Roman" w:hAnsi="Times New Roman"/>
                <w:color w:val="000000"/>
                <w:sz w:val="24"/>
                <w:szCs w:val="24"/>
              </w:rPr>
              <w:t>власним</w:t>
            </w:r>
            <w:r w:rsidRPr="00966532">
              <w:rPr>
                <w:rFonts w:ascii="Times New Roman" w:hAnsi="Times New Roman"/>
                <w:sz w:val="24"/>
                <w:szCs w:val="24"/>
              </w:rPr>
              <w:t xml:space="preserve"> транспортом до місця зберігання, утилізації та знешкодження небезпечних відходів. Навантаження, вивіз та утилізація відходів здійснюється власними силами та за рахунок Виконавця. Тип, кількість та вантажопідіймальність автотранспорту, необхідного для перевезення небезпечних відходів, визначається Виконавцем.</w:t>
            </w:r>
          </w:p>
          <w:p w:rsidR="007C68CE" w:rsidRPr="007C68CE" w:rsidRDefault="007C68CE" w:rsidP="007C68CE">
            <w:pPr>
              <w:spacing w:after="0" w:line="240" w:lineRule="auto"/>
              <w:ind w:firstLine="567"/>
              <w:jc w:val="both"/>
              <w:rPr>
                <w:rFonts w:ascii="Times New Roman" w:hAnsi="Times New Roman"/>
                <w:sz w:val="24"/>
              </w:rPr>
            </w:pPr>
            <w:r w:rsidRPr="007C68CE">
              <w:rPr>
                <w:rFonts w:ascii="Times New Roman" w:hAnsi="Times New Roman"/>
                <w:sz w:val="24"/>
              </w:rPr>
              <w:tab/>
            </w:r>
          </w:p>
          <w:p w:rsidR="00897FF5" w:rsidRPr="007C68CE" w:rsidRDefault="00897FF5" w:rsidP="007C68CE">
            <w:pPr>
              <w:spacing w:after="0" w:line="240" w:lineRule="auto"/>
              <w:ind w:firstLine="408"/>
              <w:jc w:val="both"/>
              <w:rPr>
                <w:rFonts w:ascii="Times New Roman" w:eastAsia="Times New Roman" w:hAnsi="Times New Roman"/>
                <w:sz w:val="24"/>
                <w:lang w:eastAsia="ru-RU"/>
              </w:rPr>
            </w:pPr>
          </w:p>
        </w:tc>
      </w:tr>
      <w:tr w:rsidR="00FB480F" w:rsidRPr="00B22825" w:rsidTr="00AF37E4">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6</w:t>
            </w:r>
          </w:p>
        </w:tc>
        <w:tc>
          <w:tcPr>
            <w:tcW w:w="2528" w:type="dxa"/>
            <w:shd w:val="clear" w:color="auto" w:fill="auto"/>
            <w:vAlign w:val="center"/>
          </w:tcPr>
          <w:p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rsidR="00FB480F" w:rsidRPr="000345A6" w:rsidRDefault="00FB480F" w:rsidP="00B22825">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403836">
              <w:rPr>
                <w:rFonts w:ascii="Times New Roman" w:eastAsia="Times New Roman" w:hAnsi="Times New Roman"/>
                <w:color w:val="000000"/>
                <w:sz w:val="24"/>
                <w:szCs w:val="24"/>
                <w:lang w:eastAsia="ru-RU"/>
              </w:rPr>
              <w:t>3</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403836">
              <w:rPr>
                <w:rFonts w:ascii="Times New Roman" w:eastAsia="Times New Roman" w:hAnsi="Times New Roman"/>
                <w:color w:val="000000"/>
                <w:sz w:val="24"/>
                <w:szCs w:val="24"/>
                <w:lang w:eastAsia="ru-RU"/>
              </w:rPr>
              <w:t>3</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rsidTr="00AF37E4">
        <w:trPr>
          <w:trHeight w:val="747"/>
        </w:trPr>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rsidR="00FB480F" w:rsidRPr="00B16A3B" w:rsidRDefault="00B76AE9" w:rsidP="00B22825">
            <w:pPr>
              <w:pStyle w:val="ac"/>
              <w:jc w:val="both"/>
              <w:rPr>
                <w:rFonts w:ascii="Times New Roman" w:eastAsia="Times New Roman" w:hAnsi="Times New Roman"/>
                <w:sz w:val="24"/>
                <w:szCs w:val="24"/>
                <w:lang w:eastAsia="ru-RU"/>
              </w:rPr>
            </w:pPr>
            <w:r>
              <w:rPr>
                <w:rFonts w:ascii="Times New Roman" w:hAnsi="Times New Roman"/>
                <w:sz w:val="24"/>
                <w:szCs w:val="24"/>
                <w:lang w:val="ru-RU"/>
              </w:rPr>
              <w:t>184 415</w:t>
            </w:r>
            <w:bookmarkStart w:id="1" w:name="_GoBack"/>
            <w:bookmarkEnd w:id="1"/>
            <w:r w:rsidR="00916FE0" w:rsidRPr="00916FE0">
              <w:rPr>
                <w:rFonts w:ascii="Times New Roman" w:hAnsi="Times New Roman"/>
                <w:sz w:val="24"/>
                <w:szCs w:val="24"/>
              </w:rPr>
              <w:t xml:space="preserve">,00 </w:t>
            </w:r>
            <w:r w:rsidR="007354BF" w:rsidRPr="00916FE0">
              <w:rPr>
                <w:rFonts w:ascii="Times New Roman" w:eastAsia="Times New Roman" w:hAnsi="Times New Roman"/>
                <w:sz w:val="24"/>
                <w:szCs w:val="24"/>
                <w:lang w:eastAsia="ru-RU"/>
              </w:rPr>
              <w:t>грн</w:t>
            </w:r>
            <w:r w:rsidR="007354BF" w:rsidRPr="00B16A3B">
              <w:rPr>
                <w:rFonts w:ascii="Times New Roman" w:eastAsia="Times New Roman" w:hAnsi="Times New Roman"/>
                <w:sz w:val="24"/>
                <w:szCs w:val="24"/>
                <w:lang w:eastAsia="ru-RU"/>
              </w:rPr>
              <w:t>.</w:t>
            </w:r>
          </w:p>
        </w:tc>
      </w:tr>
      <w:tr w:rsidR="00FB480F" w:rsidRPr="00B22825" w:rsidTr="00AF37E4">
        <w:tc>
          <w:tcPr>
            <w:tcW w:w="591" w:type="dxa"/>
            <w:shd w:val="clear" w:color="auto" w:fill="auto"/>
            <w:vAlign w:val="center"/>
          </w:tcPr>
          <w:p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rsidR="00FB480F" w:rsidRPr="005B2232" w:rsidRDefault="00FB480F" w:rsidP="00B22825">
            <w:pPr>
              <w:pStyle w:val="ac"/>
              <w:jc w:val="both"/>
              <w:rPr>
                <w:rFonts w:ascii="Times New Roman" w:eastAsia="Times New Roman" w:hAnsi="Times New Roman"/>
                <w:color w:val="000000"/>
                <w:sz w:val="24"/>
                <w:szCs w:val="24"/>
                <w:lang w:eastAsia="ru-RU"/>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5B2232">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методом порівняння ринкових цін.</w:t>
            </w:r>
          </w:p>
        </w:tc>
      </w:tr>
    </w:tbl>
    <w:p w:rsidR="00F65AF4" w:rsidRPr="00B22825" w:rsidRDefault="00F65AF4" w:rsidP="004278EA">
      <w:pPr>
        <w:pStyle w:val="ac"/>
        <w:jc w:val="both"/>
        <w:rPr>
          <w:rFonts w:ascii="Times New Roman" w:hAnsi="Times New Roman"/>
          <w:sz w:val="24"/>
          <w:szCs w:val="24"/>
        </w:rPr>
      </w:pPr>
    </w:p>
    <w:sectPr w:rsidR="00F65AF4" w:rsidRPr="00B22825" w:rsidSect="00073E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EE"/>
    <w:rsid w:val="00003570"/>
    <w:rsid w:val="000062C4"/>
    <w:rsid w:val="00016F3C"/>
    <w:rsid w:val="000207B3"/>
    <w:rsid w:val="00032D5F"/>
    <w:rsid w:val="000345A6"/>
    <w:rsid w:val="00054FF7"/>
    <w:rsid w:val="00073E12"/>
    <w:rsid w:val="00081284"/>
    <w:rsid w:val="0008419F"/>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758A4"/>
    <w:rsid w:val="00175D5D"/>
    <w:rsid w:val="00183E37"/>
    <w:rsid w:val="00185099"/>
    <w:rsid w:val="00192265"/>
    <w:rsid w:val="0019423B"/>
    <w:rsid w:val="0019673C"/>
    <w:rsid w:val="001A12D4"/>
    <w:rsid w:val="001A3EF3"/>
    <w:rsid w:val="001B7FE8"/>
    <w:rsid w:val="001C2022"/>
    <w:rsid w:val="001C2225"/>
    <w:rsid w:val="001D7526"/>
    <w:rsid w:val="001F56B9"/>
    <w:rsid w:val="00203B3A"/>
    <w:rsid w:val="002168C9"/>
    <w:rsid w:val="00230252"/>
    <w:rsid w:val="00236819"/>
    <w:rsid w:val="00237B8A"/>
    <w:rsid w:val="00240FBC"/>
    <w:rsid w:val="00282415"/>
    <w:rsid w:val="0028630E"/>
    <w:rsid w:val="002A32B1"/>
    <w:rsid w:val="002B0D61"/>
    <w:rsid w:val="002C200B"/>
    <w:rsid w:val="002C3E44"/>
    <w:rsid w:val="002D1CBD"/>
    <w:rsid w:val="002D3B58"/>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22C5E"/>
    <w:rsid w:val="004278EA"/>
    <w:rsid w:val="004529F5"/>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B2232"/>
    <w:rsid w:val="005C271D"/>
    <w:rsid w:val="005C4811"/>
    <w:rsid w:val="005D4B1A"/>
    <w:rsid w:val="00603E35"/>
    <w:rsid w:val="00613B47"/>
    <w:rsid w:val="0063186E"/>
    <w:rsid w:val="00666532"/>
    <w:rsid w:val="0069369C"/>
    <w:rsid w:val="006B6CEA"/>
    <w:rsid w:val="006D3C72"/>
    <w:rsid w:val="006E6FFF"/>
    <w:rsid w:val="006F33B0"/>
    <w:rsid w:val="006F4C4F"/>
    <w:rsid w:val="007022C3"/>
    <w:rsid w:val="00705D58"/>
    <w:rsid w:val="007236EE"/>
    <w:rsid w:val="007354BF"/>
    <w:rsid w:val="00736A3B"/>
    <w:rsid w:val="0074500F"/>
    <w:rsid w:val="00762587"/>
    <w:rsid w:val="007927AB"/>
    <w:rsid w:val="007969BD"/>
    <w:rsid w:val="007A541B"/>
    <w:rsid w:val="007C68CE"/>
    <w:rsid w:val="00803CEB"/>
    <w:rsid w:val="0080606A"/>
    <w:rsid w:val="00840ED7"/>
    <w:rsid w:val="008467AD"/>
    <w:rsid w:val="00846AC4"/>
    <w:rsid w:val="008725FE"/>
    <w:rsid w:val="00892206"/>
    <w:rsid w:val="0089282F"/>
    <w:rsid w:val="00897FF5"/>
    <w:rsid w:val="008A628B"/>
    <w:rsid w:val="008B35E8"/>
    <w:rsid w:val="008C4675"/>
    <w:rsid w:val="008C5352"/>
    <w:rsid w:val="008E465E"/>
    <w:rsid w:val="008F7159"/>
    <w:rsid w:val="009030D7"/>
    <w:rsid w:val="00907E51"/>
    <w:rsid w:val="00916FE0"/>
    <w:rsid w:val="00954F32"/>
    <w:rsid w:val="00956A2B"/>
    <w:rsid w:val="00961F21"/>
    <w:rsid w:val="00965D22"/>
    <w:rsid w:val="00966532"/>
    <w:rsid w:val="009809DF"/>
    <w:rsid w:val="0098218B"/>
    <w:rsid w:val="00996791"/>
    <w:rsid w:val="009A0E8B"/>
    <w:rsid w:val="009B18FA"/>
    <w:rsid w:val="009C10AD"/>
    <w:rsid w:val="009C3C3A"/>
    <w:rsid w:val="009C7827"/>
    <w:rsid w:val="009E4CDB"/>
    <w:rsid w:val="00A01064"/>
    <w:rsid w:val="00A01CDF"/>
    <w:rsid w:val="00A03BB9"/>
    <w:rsid w:val="00A10622"/>
    <w:rsid w:val="00A13268"/>
    <w:rsid w:val="00A52734"/>
    <w:rsid w:val="00A536EB"/>
    <w:rsid w:val="00A70683"/>
    <w:rsid w:val="00A90DF4"/>
    <w:rsid w:val="00AE08AF"/>
    <w:rsid w:val="00AF119C"/>
    <w:rsid w:val="00AF37E4"/>
    <w:rsid w:val="00B01893"/>
    <w:rsid w:val="00B02831"/>
    <w:rsid w:val="00B16A3B"/>
    <w:rsid w:val="00B22825"/>
    <w:rsid w:val="00B4271D"/>
    <w:rsid w:val="00B42F62"/>
    <w:rsid w:val="00B61875"/>
    <w:rsid w:val="00B72369"/>
    <w:rsid w:val="00B76AE9"/>
    <w:rsid w:val="00B771D3"/>
    <w:rsid w:val="00B80136"/>
    <w:rsid w:val="00B804A1"/>
    <w:rsid w:val="00BD6843"/>
    <w:rsid w:val="00BE270E"/>
    <w:rsid w:val="00BE4991"/>
    <w:rsid w:val="00C040C6"/>
    <w:rsid w:val="00C06313"/>
    <w:rsid w:val="00C07741"/>
    <w:rsid w:val="00C161FA"/>
    <w:rsid w:val="00C20F57"/>
    <w:rsid w:val="00C31505"/>
    <w:rsid w:val="00C86062"/>
    <w:rsid w:val="00CD5E5D"/>
    <w:rsid w:val="00CF3338"/>
    <w:rsid w:val="00D016FC"/>
    <w:rsid w:val="00D07FF5"/>
    <w:rsid w:val="00D17788"/>
    <w:rsid w:val="00D27852"/>
    <w:rsid w:val="00D32609"/>
    <w:rsid w:val="00D54450"/>
    <w:rsid w:val="00D83CCE"/>
    <w:rsid w:val="00D905EA"/>
    <w:rsid w:val="00DC179B"/>
    <w:rsid w:val="00DD4CA6"/>
    <w:rsid w:val="00DE39C5"/>
    <w:rsid w:val="00DE562E"/>
    <w:rsid w:val="00DF0762"/>
    <w:rsid w:val="00DF2768"/>
    <w:rsid w:val="00E00896"/>
    <w:rsid w:val="00E0632B"/>
    <w:rsid w:val="00E202AF"/>
    <w:rsid w:val="00E37D4F"/>
    <w:rsid w:val="00E41747"/>
    <w:rsid w:val="00E507CD"/>
    <w:rsid w:val="00E92103"/>
    <w:rsid w:val="00E95AEE"/>
    <w:rsid w:val="00EA3F85"/>
    <w:rsid w:val="00EA56A9"/>
    <w:rsid w:val="00EA589C"/>
    <w:rsid w:val="00EA7985"/>
    <w:rsid w:val="00ED12F7"/>
    <w:rsid w:val="00ED58A0"/>
    <w:rsid w:val="00F341F4"/>
    <w:rsid w:val="00F65AF4"/>
    <w:rsid w:val="00F73CB6"/>
    <w:rsid w:val="00F76ECB"/>
    <w:rsid w:val="00F87A79"/>
    <w:rsid w:val="00FB480F"/>
    <w:rsid w:val="00FC028D"/>
    <w:rsid w:val="00FC699C"/>
    <w:rsid w:val="00FD3ACA"/>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8443"/>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31D0-D145-47C8-B370-600B5A9D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1305</Words>
  <Characters>744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User449</cp:lastModifiedBy>
  <cp:revision>3</cp:revision>
  <cp:lastPrinted>2022-11-30T12:10:00Z</cp:lastPrinted>
  <dcterms:created xsi:type="dcterms:W3CDTF">2023-08-31T11:59:00Z</dcterms:created>
  <dcterms:modified xsi:type="dcterms:W3CDTF">2023-08-31T12:51:00Z</dcterms:modified>
</cp:coreProperties>
</file>