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/>
          <w:b/>
          <w:sz w:val="28"/>
          <w:szCs w:val="28"/>
          <w:highlight w:val="none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інше майно, яке пропонуються до передачі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tbl>
      <w:tblPr>
        <w:tblStyle w:val="832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690"/>
        <w:gridCol w:w="1923"/>
        <w:gridCol w:w="2977"/>
        <w:gridCol w:w="1275"/>
        <w:gridCol w:w="5407"/>
      </w:tblGrid>
      <w:tr>
        <w:trPr>
          <w:jc w:val="center"/>
          <w:trHeight w:val="1024"/>
        </w:trPr>
        <w:tc>
          <w:tcPr>
            <w:gridSpan w:val="2"/>
            <w:tcW w:w="3459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Балансоутримувач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  <w:tc>
          <w:tcPr>
            <w:gridSpan w:val="4"/>
            <w:tcW w:w="11582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val="uk-UA"/>
                <w14:ligatures w14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Медичний реабілітаційний центр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МВС України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«Перлина Прикарпаття»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981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експлуатації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випуску</w:t>
            </w:r>
            <w:r/>
          </w:p>
        </w:tc>
        <w:tc>
          <w:tcPr>
            <w:tcW w:w="540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745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Пароконвектомат CPF/110</w:t>
            </w:r>
            <w:r/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10148-0387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2005</w:t>
            </w:r>
            <w:r/>
          </w:p>
        </w:tc>
        <w:tc>
          <w:tcPr>
            <w:tcW w:w="54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Вийшли з ладу нагрівальні елементи та плата керування;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щільнення дверей порване та пересушене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корпус приладу зношений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розбите скло дверей.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Виріб не відповідає нормативній документації.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2524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Пароконвектомат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br/>
              <w:t xml:space="preserve">CPE/106</w:t>
            </w:r>
            <w:r/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10148-0871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W w:w="54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Вийшов з ладу бойлер,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ушкоджена плата керування;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вийшли з ладу двигун конвекції та вентилятор; пошкоджений ущільнювач дверей. Виріб не відповідає нормативній документації.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r>
            <w:r/>
          </w:p>
        </w:tc>
      </w:tr>
      <w:tr>
        <w:trPr>
          <w:jc w:val="center"/>
          <w:trHeight w:val="1024"/>
        </w:trPr>
        <w:tc>
          <w:tcPr>
            <w:gridSpan w:val="2"/>
            <w:tcW w:w="345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W w:w="115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Державна установа </w:t>
              <w:br/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«Центр обслуговування підрозділів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Міністерства внутрішніх справ  України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»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r>
            <w:r/>
          </w:p>
        </w:tc>
      </w:tr>
      <w:tr>
        <w:trPr>
          <w:jc w:val="center"/>
          <w:trHeight w:val="981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з/п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Найменування майна (марка, модель та ін.)</w:t>
            </w:r>
            <w:r/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Інвентарний номер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експлуатації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випуску</w:t>
            </w:r>
            <w:r/>
          </w:p>
        </w:tc>
        <w:tc>
          <w:tcPr>
            <w:tcW w:w="5407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817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Вимірювальний комплекс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НР-8935</w:t>
            </w:r>
            <w:r/>
          </w:p>
        </w:tc>
        <w:tc>
          <w:tcPr>
            <w:tcW w:w="1923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101430036</w:t>
            </w:r>
            <w:r/>
          </w:p>
        </w:tc>
        <w:tc>
          <w:tcPr>
            <w:tcW w:w="2977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перебуває в експлуатації з 2007 року</w:t>
            </w:r>
            <w:r/>
          </w:p>
        </w:tc>
        <w:tc>
          <w:tcPr>
            <w:tcW w:w="1275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2007</w:t>
            </w:r>
            <w:r/>
          </w:p>
        </w:tc>
        <w:tc>
          <w:tcPr>
            <w:tcW w:w="5407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Значні похибки при вимірюванні параметрів.</w:t>
            </w:r>
            <w:r/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eastAsia="Arial" w:cs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character" w:styleId="643">
    <w:name w:val="Title Char"/>
    <w:basedOn w:val="661"/>
    <w:link w:val="675"/>
    <w:uiPriority w:val="10"/>
    <w:rPr>
      <w:sz w:val="48"/>
      <w:szCs w:val="48"/>
    </w:rPr>
  </w:style>
  <w:style w:type="character" w:styleId="644">
    <w:name w:val="Subtitle Char"/>
    <w:basedOn w:val="661"/>
    <w:link w:val="677"/>
    <w:uiPriority w:val="11"/>
    <w:rPr>
      <w:sz w:val="24"/>
      <w:szCs w:val="24"/>
    </w:rPr>
  </w:style>
  <w:style w:type="character" w:styleId="645">
    <w:name w:val="Quote Char"/>
    <w:link w:val="679"/>
    <w:uiPriority w:val="29"/>
    <w:rPr>
      <w:i/>
    </w:rPr>
  </w:style>
  <w:style w:type="character" w:styleId="646">
    <w:name w:val="Intense Quote Char"/>
    <w:link w:val="681"/>
    <w:uiPriority w:val="30"/>
    <w:rPr>
      <w:i/>
    </w:rPr>
  </w:style>
  <w:style w:type="character" w:styleId="647">
    <w:name w:val="Header Char"/>
    <w:basedOn w:val="661"/>
    <w:link w:val="683"/>
    <w:uiPriority w:val="99"/>
  </w:style>
  <w:style w:type="character" w:styleId="648">
    <w:name w:val="Caption Char"/>
    <w:basedOn w:val="687"/>
    <w:link w:val="685"/>
    <w:uiPriority w:val="99"/>
  </w:style>
  <w:style w:type="character" w:styleId="649">
    <w:name w:val="Footnote Text Char"/>
    <w:link w:val="815"/>
    <w:uiPriority w:val="99"/>
    <w:rPr>
      <w:sz w:val="18"/>
    </w:rPr>
  </w:style>
  <w:style w:type="character" w:styleId="650">
    <w:name w:val="Endnote Text Char"/>
    <w:link w:val="818"/>
    <w:uiPriority w:val="99"/>
    <w:rPr>
      <w:sz w:val="20"/>
    </w:rPr>
  </w:style>
  <w:style w:type="paragraph" w:styleId="651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paragraph" w:styleId="652">
    <w:name w:val="Heading 1"/>
    <w:basedOn w:val="651"/>
    <w:next w:val="651"/>
    <w:link w:val="66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53">
    <w:name w:val="Heading 2"/>
    <w:basedOn w:val="651"/>
    <w:next w:val="651"/>
    <w:link w:val="66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54">
    <w:name w:val="Heading 3"/>
    <w:basedOn w:val="651"/>
    <w:next w:val="651"/>
    <w:link w:val="66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55">
    <w:name w:val="Heading 4"/>
    <w:basedOn w:val="651"/>
    <w:next w:val="651"/>
    <w:link w:val="66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56">
    <w:name w:val="Heading 5"/>
    <w:basedOn w:val="651"/>
    <w:next w:val="651"/>
    <w:link w:val="66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57">
    <w:name w:val="Heading 6"/>
    <w:basedOn w:val="651"/>
    <w:next w:val="651"/>
    <w:link w:val="66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58">
    <w:name w:val="Heading 7"/>
    <w:basedOn w:val="651"/>
    <w:next w:val="651"/>
    <w:link w:val="67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59">
    <w:name w:val="Heading 8"/>
    <w:basedOn w:val="651"/>
    <w:next w:val="651"/>
    <w:link w:val="67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60">
    <w:name w:val="Heading 9"/>
    <w:basedOn w:val="651"/>
    <w:next w:val="651"/>
    <w:link w:val="67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basedOn w:val="661"/>
    <w:link w:val="652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61"/>
    <w:link w:val="653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61"/>
    <w:link w:val="654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61"/>
    <w:link w:val="655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61"/>
    <w:link w:val="656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61"/>
    <w:link w:val="657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61"/>
    <w:link w:val="65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61"/>
    <w:link w:val="659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61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51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51"/>
    <w:next w:val="651"/>
    <w:link w:val="676"/>
    <w:uiPriority w:val="10"/>
    <w:qFormat/>
    <w:pPr>
      <w:contextualSpacing/>
      <w:spacing w:before="300"/>
    </w:pPr>
    <w:rPr>
      <w:sz w:val="48"/>
      <w:szCs w:val="48"/>
    </w:rPr>
  </w:style>
  <w:style w:type="character" w:styleId="676" w:customStyle="1">
    <w:name w:val="Назва Знак"/>
    <w:basedOn w:val="661"/>
    <w:link w:val="675"/>
    <w:uiPriority w:val="10"/>
    <w:rPr>
      <w:sz w:val="48"/>
      <w:szCs w:val="48"/>
    </w:rPr>
  </w:style>
  <w:style w:type="paragraph" w:styleId="677">
    <w:name w:val="Subtitle"/>
    <w:basedOn w:val="651"/>
    <w:next w:val="651"/>
    <w:link w:val="678"/>
    <w:uiPriority w:val="11"/>
    <w:qFormat/>
    <w:pPr>
      <w:spacing w:before="200"/>
    </w:pPr>
    <w:rPr>
      <w:sz w:val="24"/>
      <w:szCs w:val="24"/>
    </w:rPr>
  </w:style>
  <w:style w:type="character" w:styleId="678" w:customStyle="1">
    <w:name w:val="Підзаголовок Знак"/>
    <w:basedOn w:val="661"/>
    <w:link w:val="677"/>
    <w:uiPriority w:val="11"/>
    <w:rPr>
      <w:sz w:val="24"/>
      <w:szCs w:val="24"/>
    </w:rPr>
  </w:style>
  <w:style w:type="paragraph" w:styleId="679">
    <w:name w:val="Quote"/>
    <w:basedOn w:val="651"/>
    <w:next w:val="651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Знак"/>
    <w:link w:val="679"/>
    <w:uiPriority w:val="29"/>
    <w:rPr>
      <w:i/>
    </w:rPr>
  </w:style>
  <w:style w:type="paragraph" w:styleId="681">
    <w:name w:val="Intense Quote"/>
    <w:basedOn w:val="651"/>
    <w:next w:val="651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Насичена цитата Знак"/>
    <w:link w:val="681"/>
    <w:uiPriority w:val="30"/>
    <w:rPr>
      <w:i/>
    </w:rPr>
  </w:style>
  <w:style w:type="paragraph" w:styleId="683">
    <w:name w:val="Header"/>
    <w:basedOn w:val="651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ій колонтитул Знак"/>
    <w:basedOn w:val="661"/>
    <w:link w:val="683"/>
    <w:uiPriority w:val="99"/>
  </w:style>
  <w:style w:type="paragraph" w:styleId="685">
    <w:name w:val="Footer"/>
    <w:basedOn w:val="651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61"/>
    <w:uiPriority w:val="99"/>
  </w:style>
  <w:style w:type="paragraph" w:styleId="687">
    <w:name w:val="Caption"/>
    <w:basedOn w:val="651"/>
    <w:next w:val="651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styleId="688" w:customStyle="1">
    <w:name w:val="Нижній колонтитул Знак"/>
    <w:link w:val="685"/>
    <w:uiPriority w:val="99"/>
  </w:style>
  <w:style w:type="table" w:styleId="689" w:customStyle="1">
    <w:name w:val="Table Grid Light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>
    <w:name w:val="Plain Table 1"/>
    <w:basedOn w:val="66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66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718" w:customStyle="1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722" w:customStyle="1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32" w:customStyle="1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6" w:customStyle="1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37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8" w:customStyle="1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0B7E1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0B7E1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39" w:customStyle="1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0" w:customStyle="1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5A5A5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1" w:customStyle="1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2" w:customStyle="1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2C6E7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A2C6E7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3" w:customStyle="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DD394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44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781" w:customStyle="1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785" w:customStyle="1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7" w:customStyle="1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472C4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472C4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8" w:customStyle="1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4B184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89" w:customStyle="1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9C9C9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0" w:customStyle="1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FD865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1" w:customStyle="1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BC2E5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BC2E5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2" w:customStyle="1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9D08E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3" w:customStyle="1">
    <w:name w:val="Lined - Accent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795" w:customStyle="1">
    <w:name w:val="Lined - Accent 2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799" w:customStyle="1">
    <w:name w:val="Lined - Accent 6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802" w:customStyle="1">
    <w:name w:val="Bordered &amp; Lined - Accent 2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806" w:customStyle="1">
    <w:name w:val="Bordered &amp; Lined - Accent 6"/>
    <w:basedOn w:val="662"/>
    <w:uiPriority w:val="99"/>
    <w:pPr>
      <w:spacing w:after="0" w:line="240" w:lineRule="auto"/>
    </w:pPr>
    <w:rPr>
      <w:color w:val="404040"/>
      <w:sz w:val="20"/>
      <w:szCs w:val="20"/>
      <w:lang w:val="en-US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809" w:customStyle="1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813" w:customStyle="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51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виноски Знак"/>
    <w:link w:val="815"/>
    <w:uiPriority w:val="99"/>
    <w:rPr>
      <w:sz w:val="18"/>
    </w:rPr>
  </w:style>
  <w:style w:type="character" w:styleId="817">
    <w:name w:val="footnote reference"/>
    <w:basedOn w:val="661"/>
    <w:uiPriority w:val="99"/>
    <w:unhideWhenUsed/>
    <w:rPr>
      <w:vertAlign w:val="superscript"/>
    </w:rPr>
  </w:style>
  <w:style w:type="paragraph" w:styleId="818">
    <w:name w:val="endnote text"/>
    <w:basedOn w:val="651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інцевої виноски Знак"/>
    <w:link w:val="818"/>
    <w:uiPriority w:val="99"/>
    <w:rPr>
      <w:sz w:val="20"/>
    </w:rPr>
  </w:style>
  <w:style w:type="character" w:styleId="820">
    <w:name w:val="endnote reference"/>
    <w:basedOn w:val="661"/>
    <w:uiPriority w:val="99"/>
    <w:semiHidden/>
    <w:unhideWhenUsed/>
    <w:rPr>
      <w:vertAlign w:val="superscript"/>
    </w:rPr>
  </w:style>
  <w:style w:type="paragraph" w:styleId="821">
    <w:name w:val="toc 1"/>
    <w:basedOn w:val="651"/>
    <w:next w:val="651"/>
    <w:uiPriority w:val="39"/>
    <w:unhideWhenUsed/>
    <w:pPr>
      <w:spacing w:after="57"/>
    </w:pPr>
  </w:style>
  <w:style w:type="paragraph" w:styleId="822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3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4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5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6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7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8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9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51"/>
    <w:next w:val="651"/>
    <w:uiPriority w:val="99"/>
    <w:unhideWhenUsed/>
    <w:pPr>
      <w:spacing w:after="0"/>
    </w:pPr>
  </w:style>
  <w:style w:type="table" w:styleId="832">
    <w:name w:val="Table Grid"/>
    <w:basedOn w:val="662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Борсук Ольга Миколаївна</cp:lastModifiedBy>
  <cp:revision>20</cp:revision>
  <dcterms:created xsi:type="dcterms:W3CDTF">2023-07-14T07:18:00Z</dcterms:created>
  <dcterms:modified xsi:type="dcterms:W3CDTF">2023-08-28T16:04:25Z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2023-08-07T08:56:56Z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269ae716-e3ac-43c3-afed-32aac9da268f</vt:lpwstr>
  </property>
  <property fmtid="{D5CDD505-2E9C-101B-9397-08002B2CF9AE}" pid="7" name="MSIP_Label_defa4170-0d19-0005-0004-bc88714345d2_ActionId">
    <vt:lpwstr>83a58aef-bb8f-4fd4-be56-ad2568f061b1</vt:lpwstr>
  </property>
  <property fmtid="{D5CDD505-2E9C-101B-9397-08002B2CF9AE}" pid="8" name="MSIP_Label_defa4170-0d19-0005-0004-bc88714345d2_ContentBits">
    <vt:lpwstr>0</vt:lpwstr>
  </property>
</Properties>
</file>