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ІНФОРМАЦІЯ </w:t>
      </w:r>
      <w:r/>
    </w:p>
    <w:p>
      <w:pPr>
        <w:jc w:val="center"/>
        <w:rPr>
          <w:rFonts w:eastAsia="Calibri"/>
          <w:b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про </w:t>
      </w:r>
      <w:r>
        <w:rPr>
          <w:rFonts w:eastAsia="Calibri"/>
          <w:b/>
          <w:spacing w:val="-6"/>
          <w:sz w:val="28"/>
          <w:szCs w:val="28"/>
        </w:rPr>
        <w:t xml:space="preserve">майно медичного призначення, яке</w:t>
      </w:r>
      <w:r>
        <w:rPr>
          <w:rFonts w:eastAsia="Calibri"/>
          <w:b/>
          <w:spacing w:val="-6"/>
          <w:sz w:val="28"/>
          <w:szCs w:val="28"/>
        </w:rPr>
        <w:t xml:space="preserve"> пропонується до передачі</w:t>
      </w:r>
      <w:r/>
    </w:p>
    <w:p>
      <w:pPr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</w:r>
      <w:r/>
    </w:p>
    <w:tbl>
      <w:tblPr>
        <w:tblStyle w:val="815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2127"/>
        <w:gridCol w:w="3056"/>
        <w:gridCol w:w="1418"/>
        <w:gridCol w:w="4981"/>
      </w:tblGrid>
      <w:tr>
        <w:trPr>
          <w:jc w:val="center"/>
          <w:trHeight w:val="585"/>
        </w:trPr>
        <w:tc>
          <w:tcPr>
            <w:gridSpan w:val="2"/>
            <w:tcW w:w="345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  <w:p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gridSpan w:val="4"/>
            <w:tcW w:w="1158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Медичний реабілітаційний центр МВС України «Південний  Буг»</w:t>
            </w:r>
            <w:r/>
          </w:p>
        </w:tc>
      </w:tr>
      <w:tr>
        <w:trPr>
          <w:jc w:val="center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Найменування майна(марка, модель та ін.)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Інвентарний №</w:t>
            </w:r>
            <w:r/>
          </w:p>
        </w:tc>
        <w:tc>
          <w:tcPr>
            <w:tcW w:w="3056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49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745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Prosound a6 </w:t>
            </w:r>
            <w:r>
              <w:rPr>
                <w:bCs/>
                <w:sz w:val="28"/>
                <w:szCs w:val="28"/>
                <w:lang w:val="uk-UA"/>
              </w:rPr>
              <w:t xml:space="preserve">ультра-</w:t>
            </w:r>
            <w:r/>
          </w:p>
          <w:p>
            <w:pPr>
              <w:ind w:left="-100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</w:t>
            </w:r>
            <w:r>
              <w:rPr>
                <w:bCs/>
                <w:sz w:val="28"/>
                <w:szCs w:val="28"/>
                <w:lang w:val="uk-UA"/>
              </w:rPr>
              <w:t xml:space="preserve">вукова діагностична система 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10147-0106</w:t>
            </w:r>
            <w:r/>
          </w:p>
        </w:tc>
        <w:tc>
          <w:tcPr>
            <w:tcW w:w="3056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24750</w:t>
            </w:r>
            <w:r>
              <w:rPr>
                <w:bCs/>
                <w:sz w:val="28"/>
                <w:szCs w:val="28"/>
                <w:lang w:val="uk-UA"/>
              </w:rPr>
              <w:t xml:space="preserve"> знімків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2012 </w:t>
            </w:r>
            <w:r/>
          </w:p>
        </w:tc>
        <w:tc>
          <w:tcPr>
            <w:tcW w:w="4981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Не друкує термо принтер. </w:t>
            </w:r>
            <w:r>
              <w:rPr>
                <w:bCs/>
                <w:sz w:val="28"/>
                <w:szCs w:val="28"/>
                <w:lang w:val="uk-UA"/>
              </w:rPr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Потребує заміни лінійний датчик.</w:t>
            </w:r>
            <w:r/>
          </w:p>
        </w:tc>
      </w:tr>
      <w:tr>
        <w:trPr>
          <w:jc w:val="center"/>
          <w:trHeight w:val="585"/>
        </w:trPr>
        <w:tc>
          <w:tcPr>
            <w:gridSpan w:val="2"/>
            <w:tcW w:w="345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  <w:p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gridSpan w:val="4"/>
            <w:tcW w:w="1158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Медичний реабілітаційний центр МВС України «Перлина Прикарпаття»</w:t>
            </w:r>
            <w:r/>
          </w:p>
        </w:tc>
      </w:tr>
      <w:tr>
        <w:trPr>
          <w:jc w:val="center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Найменування майна(марка, модель та ін.)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Інвентарний №</w:t>
            </w:r>
            <w:r/>
          </w:p>
        </w:tc>
        <w:tc>
          <w:tcPr>
            <w:tcW w:w="3056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49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2436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Апарат для ультразвукової діагностики «АЛОКА» з датчик</w:t>
            </w:r>
            <w:r>
              <w:rPr>
                <w:bCs/>
                <w:sz w:val="28"/>
                <w:szCs w:val="28"/>
                <w:lang w:val="uk-UA"/>
              </w:rPr>
              <w:t xml:space="preserve">ом</w:t>
            </w:r>
            <w:r>
              <w:rPr>
                <w:bCs/>
                <w:sz w:val="28"/>
                <w:szCs w:val="28"/>
                <w:lang w:val="uk-UA"/>
              </w:rPr>
              <w:t xml:space="preserve"> UST934N-3</w:t>
            </w:r>
            <w:r>
              <w:rPr>
                <w:bCs/>
                <w:sz w:val="28"/>
                <w:szCs w:val="28"/>
                <w:lang w:val="uk-UA"/>
              </w:rPr>
              <w:t xml:space="preserve">.</w:t>
            </w:r>
            <w:r>
              <w:rPr>
                <w:bCs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10147-0106</w:t>
            </w:r>
            <w:r/>
          </w:p>
        </w:tc>
        <w:tc>
          <w:tcPr>
            <w:tcW w:w="3056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W w:w="4981" w:type="dxa"/>
            <w:vAlign w:val="center"/>
            <w:textDirection w:val="lrTb"/>
            <w:noWrap w:val="false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Вийшов з ладу блок живлення,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монітор, відео підсилювач, трансформатор, датчики.</w:t>
            </w:r>
            <w:r/>
          </w:p>
        </w:tc>
      </w:tr>
      <w:tr>
        <w:trPr>
          <w:jc w:val="center"/>
          <w:trHeight w:val="1417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Гнучкий гастроскоп OLYMPYS GIF TYPE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10147-0094</w:t>
            </w:r>
            <w:r/>
          </w:p>
        </w:tc>
        <w:tc>
          <w:tcPr>
            <w:tcW w:w="3056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2001</w:t>
            </w:r>
            <w:r/>
          </w:p>
        </w:tc>
        <w:tc>
          <w:tcPr>
            <w:tcW w:w="4981" w:type="dxa"/>
            <w:vAlign w:val="center"/>
            <w:textDirection w:val="lrTb"/>
            <w:noWrap w:val="false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Пошкодження бі</w:t>
            </w:r>
            <w:r>
              <w:rPr>
                <w:bCs/>
                <w:sz w:val="28"/>
                <w:szCs w:val="28"/>
                <w:lang w:val="uk-UA"/>
              </w:rPr>
              <w:t xml:space="preserve">льше 30% волокон світловоду</w:t>
            </w:r>
            <w:r>
              <w:rPr>
                <w:bCs/>
                <w:sz w:val="28"/>
                <w:szCs w:val="28"/>
                <w:lang w:val="uk-UA"/>
              </w:rPr>
              <w:t xml:space="preserve">; більше 5% фіброволокна передачі зображення; </w:t>
            </w:r>
            <w:r>
              <w:rPr>
                <w:bCs/>
                <w:sz w:val="28"/>
                <w:szCs w:val="28"/>
                <w:lang w:val="uk-UA"/>
              </w:rPr>
              <w:t xml:space="preserve">розгерметизація та значне пошкодження механічних елементів гастроскопу внаслідок попадання стерилізаційної рідини всередину інструменту.</w:t>
            </w: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17" w:right="850" w:bottom="1418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Борсук Ольга Миколаївна</cp:lastModifiedBy>
  <cp:revision>16</cp:revision>
  <dcterms:created xsi:type="dcterms:W3CDTF">2023-08-07T09:11:00Z</dcterms:created>
  <dcterms:modified xsi:type="dcterms:W3CDTF">2023-08-28T16:04:50Z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2023-08-07T09:30:00Z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9e99ac30-cecc-493a-b79e-7cc21a926bb5</vt:lpwstr>
  </property>
  <property fmtid="{D5CDD505-2E9C-101B-9397-08002B2CF9AE}" pid="8" name="MSIP_Label_defa4170-0d19-0005-0004-bc88714345d2_ContentBits">
    <vt:lpwstr>0</vt:lpwstr>
  </property>
</Properties>
</file>