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ЄВРОПЕЙСЬКИЙ СУД З ПРАВ ЛЮДИНИ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СПРАВА «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СЕДЛЕЦЬКА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ПРОТИ УКРАЇНИ»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(CASE OF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SEDLETSKA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v. UKRAINE)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аява 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42634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14"/>
          <w:szCs w:val="14"/>
          <w:lang w:val="uk-UA"/>
        </w:rPr>
      </w:pPr>
      <w:r>
        <w:rPr>
          <w:rFonts w:ascii="Times New Roman" w:hAnsi="Times New Roman" w:eastAsia="Times New Roman" w:cs="Times New Roman"/>
          <w:sz w:val="14"/>
          <w:szCs w:val="14"/>
          <w:lang w:val="uk-UA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Стислий виклад рішення від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0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квіт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ня 202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14"/>
          <w:szCs w:val="14"/>
          <w:lang w:val="uk-UA"/>
        </w:rPr>
      </w:pPr>
      <w:r>
        <w:rPr>
          <w:rFonts w:ascii="Times New Roman" w:hAnsi="Times New Roman" w:eastAsia="Times New Roman" w:cs="Times New Roman"/>
          <w:b/>
          <w:bCs/>
          <w:sz w:val="14"/>
          <w:szCs w:val="14"/>
          <w:lang w:val="uk-UA"/>
        </w:rPr>
      </w:r>
      <w:r/>
    </w:p>
    <w:p>
      <w:pPr>
        <w:pStyle w:val="65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13 листопада</w:t>
      </w:r>
      <w:r>
        <w:rPr>
          <w:rFonts w:ascii="Times New Roman" w:hAnsi="Times New Roman"/>
          <w:lang w:val="uk-UA"/>
        </w:rPr>
        <w:t xml:space="preserve"> 2017</w:t>
      </w:r>
      <w:r>
        <w:rPr>
          <w:rFonts w:ascii="Times New Roman" w:hAnsi="Times New Roman"/>
          <w:lang w:val="uk-UA"/>
        </w:rPr>
        <w:t xml:space="preserve"> року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на вебсайті інтернет-видання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«Обозреватель» </w:t>
      </w:r>
      <w:r>
        <w:rPr>
          <w:rFonts w:ascii="Times New Roman" w:hAnsi="Times New Roman"/>
          <w:lang w:val="uk-UA"/>
        </w:rPr>
        <w:t xml:space="preserve">була опублікована стаття </w:t>
      </w:r>
      <w:r>
        <w:rPr>
          <w:rFonts w:ascii="Times New Roman" w:hAnsi="Times New Roman"/>
          <w:lang w:val="uk-UA"/>
        </w:rPr>
        <w:t xml:space="preserve">з доданим до неї аудіозаписом </w:t>
      </w:r>
      <w:r>
        <w:rPr>
          <w:rFonts w:ascii="Times New Roman" w:hAnsi="Times New Roman"/>
          <w:lang w:val="uk-UA"/>
        </w:rPr>
        <w:t xml:space="preserve">про проведення влітку 2017 року закритої зустрічі г</w:t>
      </w:r>
      <w:r>
        <w:rPr>
          <w:rFonts w:ascii="Times New Roman" w:hAnsi="Times New Roman"/>
          <w:lang w:val="uk-UA"/>
        </w:rPr>
        <w:t xml:space="preserve">о</w:t>
      </w:r>
      <w:r>
        <w:rPr>
          <w:rFonts w:ascii="Times New Roman" w:hAnsi="Times New Roman"/>
          <w:lang w:val="uk-UA"/>
        </w:rPr>
        <w:t xml:space="preserve">л</w:t>
      </w:r>
      <w:r>
        <w:rPr>
          <w:rFonts w:ascii="Times New Roman" w:hAnsi="Times New Roman"/>
          <w:lang w:val="uk-UA"/>
        </w:rPr>
        <w:t xml:space="preserve">о</w:t>
      </w:r>
      <w:r>
        <w:rPr>
          <w:rFonts w:ascii="Times New Roman" w:hAnsi="Times New Roman"/>
          <w:lang w:val="uk-UA"/>
        </w:rPr>
        <w:t xml:space="preserve">ви НАБУ С. </w:t>
      </w:r>
      <w:r>
        <w:rPr>
          <w:rFonts w:ascii="Times New Roman" w:hAnsi="Times New Roman"/>
          <w:lang w:val="uk-UA"/>
        </w:rPr>
        <w:t xml:space="preserve">з</w:t>
      </w:r>
      <w:r>
        <w:rPr>
          <w:rFonts w:ascii="Times New Roman" w:hAnsi="Times New Roman"/>
          <w:lang w:val="uk-UA"/>
        </w:rPr>
        <w:t xml:space="preserve"> представниками </w:t>
      </w:r>
      <w:r>
        <w:rPr>
          <w:rFonts w:ascii="Times New Roman" w:hAnsi="Times New Roman"/>
          <w:lang w:val="uk-UA"/>
        </w:rPr>
        <w:t xml:space="preserve">засобів масової інформації, під час якої </w:t>
      </w:r>
      <w:r>
        <w:rPr>
          <w:rFonts w:ascii="Times New Roman" w:hAnsi="Times New Roman"/>
          <w:lang w:val="uk-UA"/>
        </w:rPr>
        <w:t xml:space="preserve">він </w:t>
      </w:r>
      <w:r>
        <w:rPr>
          <w:rFonts w:ascii="Times New Roman" w:hAnsi="Times New Roman"/>
          <w:lang w:val="uk-UA"/>
        </w:rPr>
        <w:t xml:space="preserve">розголосив </w:t>
      </w:r>
      <w:r>
        <w:rPr>
          <w:rFonts w:ascii="Times New Roman" w:hAnsi="Times New Roman"/>
          <w:lang w:val="uk-UA"/>
        </w:rPr>
        <w:t xml:space="preserve">конфіденцій</w:t>
      </w:r>
      <w:r>
        <w:rPr>
          <w:rFonts w:ascii="Times New Roman" w:hAnsi="Times New Roman"/>
          <w:lang w:val="uk-UA"/>
        </w:rPr>
        <w:t xml:space="preserve">ну інформацію про деякі кримінальні провадження</w:t>
      </w:r>
      <w:r>
        <w:rPr>
          <w:rFonts w:ascii="Times New Roman" w:hAnsi="Times New Roman"/>
          <w:lang w:val="uk-UA"/>
        </w:rPr>
        <w:t xml:space="preserve">.</w:t>
      </w:r>
      <w:r>
        <w:rPr>
          <w:rFonts w:ascii="Times New Roman" w:hAnsi="Times New Roman"/>
          <w:lang w:val="uk-UA"/>
        </w:rPr>
        <w:t xml:space="preserve"> </w:t>
      </w:r>
      <w:r/>
    </w:p>
    <w:p>
      <w:pPr>
        <w:pStyle w:val="65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16 листопада 2017 року Генеральна прокуратура України (далі – ГПУ) порушила кримінальне провадження щодо С. </w:t>
      </w:r>
      <w:r>
        <w:rPr>
          <w:rFonts w:ascii="Times New Roman" w:hAnsi="Times New Roman"/>
          <w:lang w:val="uk-UA"/>
        </w:rPr>
        <w:t xml:space="preserve">Також </w:t>
      </w:r>
      <w:r>
        <w:rPr>
          <w:rFonts w:ascii="Times New Roman" w:hAnsi="Times New Roman"/>
          <w:lang w:val="uk-UA"/>
        </w:rPr>
        <w:t xml:space="preserve">ГПУ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встановила</w:t>
      </w:r>
      <w:r>
        <w:rPr>
          <w:rFonts w:ascii="Times New Roman" w:hAnsi="Times New Roman"/>
          <w:lang w:val="uk-UA"/>
        </w:rPr>
        <w:t xml:space="preserve">, що один </w:t>
      </w:r>
      <w:r>
        <w:rPr>
          <w:rFonts w:ascii="Times New Roman" w:hAnsi="Times New Roman"/>
          <w:lang w:val="uk-UA"/>
        </w:rPr>
        <w:t xml:space="preserve">з голосів на аудіозаписі</w:t>
      </w:r>
      <w:r>
        <w:rPr>
          <w:rFonts w:ascii="Times New Roman" w:hAnsi="Times New Roman"/>
          <w:lang w:val="uk-UA"/>
        </w:rPr>
        <w:t xml:space="preserve"> належав заявниці, і </w:t>
      </w:r>
      <w:r>
        <w:rPr>
          <w:rFonts w:ascii="Times New Roman" w:hAnsi="Times New Roman"/>
          <w:lang w:val="uk-UA"/>
        </w:rPr>
        <w:t xml:space="preserve">викликала її </w:t>
      </w:r>
      <w:r>
        <w:rPr>
          <w:rFonts w:ascii="Times New Roman" w:hAnsi="Times New Roman"/>
          <w:lang w:val="uk-UA"/>
        </w:rPr>
        <w:t xml:space="preserve">на допит</w:t>
      </w:r>
      <w:r>
        <w:rPr>
          <w:rFonts w:ascii="Times New Roman" w:hAnsi="Times New Roman"/>
          <w:lang w:val="uk-UA"/>
        </w:rPr>
        <w:t xml:space="preserve">. П</w:t>
      </w:r>
      <w:r>
        <w:rPr>
          <w:rFonts w:ascii="Times New Roman" w:hAnsi="Times New Roman"/>
          <w:lang w:val="uk-UA"/>
        </w:rPr>
        <w:t xml:space="preserve">ід час </w:t>
      </w:r>
      <w:r>
        <w:rPr>
          <w:rFonts w:ascii="Times New Roman" w:hAnsi="Times New Roman"/>
          <w:lang w:val="uk-UA"/>
        </w:rPr>
        <w:t xml:space="preserve">допиту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заявниця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зазначила, що її не можна було допитувати як свідка, якщо це призве</w:t>
      </w:r>
      <w:r>
        <w:rPr>
          <w:rFonts w:ascii="Times New Roman" w:hAnsi="Times New Roman"/>
          <w:lang w:val="uk-UA"/>
        </w:rPr>
        <w:t xml:space="preserve">де</w:t>
      </w:r>
      <w:r>
        <w:rPr>
          <w:rFonts w:ascii="Times New Roman" w:hAnsi="Times New Roman"/>
          <w:lang w:val="uk-UA"/>
        </w:rPr>
        <w:t xml:space="preserve"> до розголошення її журналістських джерел інформації.</w:t>
      </w:r>
      <w:r/>
    </w:p>
    <w:p>
      <w:pPr>
        <w:pStyle w:val="65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27 серпня 2018 року</w:t>
      </w:r>
      <w:r>
        <w:rPr>
          <w:rFonts w:ascii="Times New Roman" w:hAnsi="Times New Roman"/>
          <w:lang w:val="uk-UA"/>
        </w:rPr>
        <w:t xml:space="preserve"> слідчий ГПУ звернувся до Печерського районного суду міста Києва (далі – районний суд) з клопотанням про надання доступу до інформації щодо вхідних і вихідних з’єднань з телефону заявниці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у період з 19 липня 2016 року до 16 листопада 2017 року, які знаходилися у володінні оператора мобільного зв’язку ПрАТ «Київстар».</w:t>
      </w:r>
      <w:r>
        <w:rPr>
          <w:rFonts w:ascii="Times New Roman" w:hAnsi="Times New Roman"/>
          <w:lang w:val="uk-UA"/>
        </w:rPr>
        <w:t xml:space="preserve"> Того ж дня слідчий суддя задовольнив клопотання та надав дозвіл на отримання відповідної інформації з телефону заявниці.</w:t>
      </w:r>
      <w:r>
        <w:rPr>
          <w:rFonts w:ascii="Times New Roman" w:hAnsi="Times New Roman"/>
          <w:lang w:val="uk-UA"/>
        </w:rPr>
        <w:t xml:space="preserve"> Ухвала слідчого не підлягала </w:t>
      </w:r>
      <w:r>
        <w:rPr>
          <w:rFonts w:ascii="Times New Roman" w:hAnsi="Times New Roman"/>
          <w:lang w:val="uk-UA"/>
        </w:rPr>
        <w:t xml:space="preserve">оскарженню</w:t>
      </w:r>
      <w:r>
        <w:rPr>
          <w:rFonts w:ascii="Times New Roman" w:hAnsi="Times New Roman"/>
          <w:lang w:val="uk-UA"/>
        </w:rPr>
        <w:t xml:space="preserve">.</w:t>
      </w:r>
      <w:r/>
    </w:p>
    <w:p>
      <w:pPr>
        <w:pStyle w:val="65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Дізнавшись про ухвалу слідчого, заявниця та її захисник звернулися до Апеляційного суду міста Києва (далі – апеляційний суд) з</w:t>
      </w:r>
      <w:r>
        <w:rPr>
          <w:rFonts w:ascii="Times New Roman" w:hAnsi="Times New Roman"/>
          <w:lang w:val="uk-UA"/>
        </w:rPr>
        <w:t xml:space="preserve">і</w:t>
      </w:r>
      <w:r>
        <w:rPr>
          <w:rFonts w:ascii="Times New Roman" w:hAnsi="Times New Roman"/>
          <w:lang w:val="uk-UA"/>
        </w:rPr>
        <w:t xml:space="preserve"> скаргою про</w:t>
      </w:r>
      <w:r>
        <w:rPr>
          <w:rFonts w:ascii="Times New Roman" w:hAnsi="Times New Roman"/>
          <w:lang w:val="uk-UA"/>
        </w:rPr>
        <w:t xml:space="preserve"> скасування ухвал</w:t>
      </w:r>
      <w:r>
        <w:rPr>
          <w:rFonts w:ascii="Times New Roman" w:hAnsi="Times New Roman"/>
          <w:lang w:val="uk-UA"/>
        </w:rPr>
        <w:t xml:space="preserve">и</w:t>
      </w:r>
      <w:r>
        <w:rPr>
          <w:rFonts w:ascii="Times New Roman" w:hAnsi="Times New Roman"/>
          <w:lang w:val="uk-UA"/>
        </w:rPr>
        <w:t xml:space="preserve"> районного суду</w:t>
      </w:r>
      <w:r>
        <w:rPr>
          <w:rFonts w:ascii="Times New Roman" w:hAnsi="Times New Roman"/>
          <w:lang w:val="uk-UA"/>
        </w:rPr>
        <w:t xml:space="preserve">.</w:t>
      </w:r>
      <w:r/>
    </w:p>
    <w:p>
      <w:pPr>
        <w:pStyle w:val="65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18 вересня 2018</w:t>
      </w:r>
      <w:r>
        <w:rPr>
          <w:rFonts w:ascii="Times New Roman" w:hAnsi="Times New Roman"/>
          <w:lang w:val="uk-UA"/>
        </w:rPr>
        <w:t xml:space="preserve"> року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апе</w:t>
      </w:r>
      <w:r>
        <w:rPr>
          <w:rFonts w:ascii="Times New Roman" w:hAnsi="Times New Roman"/>
          <w:lang w:val="uk-UA"/>
        </w:rPr>
        <w:t xml:space="preserve">ляційний суд визнав можливим прийняти до розгляду апеляційну скаргу заявниці, скасував ухвалу районного суду від 27 серпня 2018 року і постановив нову, якою надав дозвіл на доступ до відомостей про дати та час місцезнаходження мобільного телефону заявниці </w:t>
      </w:r>
      <w:r>
        <w:rPr>
          <w:rFonts w:ascii="Times New Roman" w:hAnsi="Times New Roman"/>
          <w:lang w:val="uk-UA"/>
        </w:rPr>
        <w:t xml:space="preserve">за</w:t>
      </w:r>
      <w:r>
        <w:rPr>
          <w:rFonts w:ascii="Times New Roman" w:hAnsi="Times New Roman"/>
          <w:lang w:val="uk-UA"/>
        </w:rPr>
        <w:t xml:space="preserve"> період з 19 липня 2016 року до 16 листопада 2017 року.</w:t>
      </w:r>
      <w:r/>
    </w:p>
    <w:p>
      <w:pPr>
        <w:pStyle w:val="65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Заявниця та її захисник звернулися до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ПрАТ «Київстар» </w:t>
      </w:r>
      <w:r>
        <w:rPr>
          <w:rFonts w:ascii="Times New Roman" w:hAnsi="Times New Roman"/>
          <w:lang w:val="uk-UA"/>
        </w:rPr>
        <w:t xml:space="preserve">і</w:t>
      </w:r>
      <w:r>
        <w:rPr>
          <w:rFonts w:ascii="Times New Roman" w:hAnsi="Times New Roman"/>
          <w:lang w:val="uk-UA"/>
        </w:rPr>
        <w:t xml:space="preserve"> ГПУ </w:t>
      </w:r>
      <w:r>
        <w:rPr>
          <w:rFonts w:ascii="Times New Roman" w:hAnsi="Times New Roman"/>
          <w:lang w:val="uk-UA"/>
        </w:rPr>
        <w:t xml:space="preserve">із запитами, чи отримало</w:t>
      </w:r>
      <w:r>
        <w:rPr>
          <w:rFonts w:ascii="Times New Roman" w:hAnsi="Times New Roman"/>
          <w:lang w:val="uk-UA"/>
        </w:rPr>
        <w:t xml:space="preserve"> слідство доступ до даних з її мобільного телефону на підставі ухвал суду від 27 серпня та 18 вересня 2018 року. Низка громадських організацій також надіслали відповідні запити. </w:t>
      </w:r>
      <w:r>
        <w:rPr>
          <w:rFonts w:ascii="Times New Roman" w:hAnsi="Times New Roman"/>
          <w:lang w:val="uk-UA"/>
        </w:rPr>
        <w:t xml:space="preserve">У задоволенні усіх запитів було відмовлено.</w:t>
      </w:r>
      <w:r/>
    </w:p>
    <w:p>
      <w:pPr>
        <w:pStyle w:val="65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10 вересня 2018 року заявниця звернулася до Європейського суду з прав людини (далі – Європейський суд) </w:t>
      </w:r>
      <w:r>
        <w:rPr>
          <w:rFonts w:ascii="Times New Roman" w:hAnsi="Times New Roman"/>
          <w:lang w:val="uk-UA"/>
        </w:rPr>
        <w:t xml:space="preserve">з проханням про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надання</w:t>
      </w:r>
      <w:r>
        <w:rPr>
          <w:rFonts w:ascii="Times New Roman" w:hAnsi="Times New Roman"/>
          <w:lang w:val="uk-UA"/>
        </w:rPr>
        <w:t xml:space="preserve"> вказівок</w:t>
      </w:r>
      <w:r>
        <w:rPr>
          <w:rFonts w:ascii="Times New Roman" w:hAnsi="Times New Roman"/>
          <w:lang w:val="uk-UA"/>
        </w:rPr>
        <w:t xml:space="preserve"> Уряду України </w:t>
      </w:r>
      <w:r>
        <w:rPr>
          <w:rFonts w:ascii="Times New Roman" w:hAnsi="Times New Roman"/>
          <w:lang w:val="uk-UA"/>
        </w:rPr>
        <w:t xml:space="preserve">відповідно до</w:t>
      </w:r>
      <w:r>
        <w:rPr>
          <w:rFonts w:ascii="Times New Roman" w:hAnsi="Times New Roman"/>
          <w:lang w:val="uk-UA"/>
        </w:rPr>
        <w:t xml:space="preserve"> Правила 39 Регламенту Суду, </w:t>
      </w:r>
      <w:r>
        <w:rPr>
          <w:rFonts w:ascii="Times New Roman" w:hAnsi="Times New Roman"/>
          <w:lang w:val="uk-UA"/>
        </w:rPr>
        <w:t xml:space="preserve">і Європейський суд</w:t>
      </w:r>
      <w:r>
        <w:rPr>
          <w:rFonts w:ascii="Times New Roman" w:hAnsi="Times New Roman"/>
          <w:lang w:val="uk-UA"/>
        </w:rPr>
        <w:t xml:space="preserve"> вказав Уряду України утриматися від</w:t>
      </w:r>
      <w:r>
        <w:rPr>
          <w:rFonts w:ascii="Times New Roman" w:hAnsi="Times New Roman"/>
          <w:lang w:val="uk-UA"/>
        </w:rPr>
        <w:t xml:space="preserve"> доступу до будь-яких відомостей стосовно заявниці, згаданих в ухвалі суду від 27 серпня 2018 року.</w:t>
      </w:r>
      <w:r/>
    </w:p>
    <w:p>
      <w:pPr>
        <w:pStyle w:val="65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Пізніше </w:t>
      </w:r>
      <w:r>
        <w:rPr>
          <w:rFonts w:ascii="Times New Roman" w:hAnsi="Times New Roman"/>
          <w:lang w:val="uk-UA"/>
        </w:rPr>
        <w:t xml:space="preserve">ГПУ повідомила Уповноваженого у справах Європейського суду з прав людини, що з огляду на накладені згідно з Правилом 39 Регламенту </w:t>
      </w:r>
      <w:r>
        <w:rPr>
          <w:rFonts w:ascii="Times New Roman" w:hAnsi="Times New Roman"/>
          <w:lang w:val="uk-UA"/>
        </w:rPr>
        <w:t xml:space="preserve">Європейського с</w:t>
      </w:r>
      <w:r>
        <w:rPr>
          <w:rFonts w:ascii="Times New Roman" w:hAnsi="Times New Roman"/>
          <w:lang w:val="uk-UA"/>
        </w:rPr>
        <w:t xml:space="preserve">уду вимоги ГПУ не здійснювала жодних дій, санкціонованих ухвалами </w:t>
      </w:r>
      <w:r>
        <w:rPr>
          <w:rFonts w:ascii="Times New Roman" w:hAnsi="Times New Roman"/>
          <w:lang w:val="uk-UA"/>
        </w:rPr>
        <w:t xml:space="preserve">суду </w:t>
      </w:r>
      <w:r>
        <w:rPr>
          <w:rFonts w:ascii="Times New Roman" w:hAnsi="Times New Roman"/>
          <w:lang w:val="uk-UA"/>
        </w:rPr>
        <w:t xml:space="preserve">від 27 серпня та</w:t>
      </w:r>
      <w:r>
        <w:rPr>
          <w:rFonts w:ascii="Times New Roman" w:hAnsi="Times New Roman"/>
          <w:lang w:val="uk-UA"/>
        </w:rPr>
        <w:t xml:space="preserve"> від</w:t>
      </w:r>
      <w:r>
        <w:rPr>
          <w:rFonts w:ascii="Times New Roman" w:hAnsi="Times New Roman"/>
          <w:lang w:val="uk-UA"/>
        </w:rPr>
        <w:t xml:space="preserve"> 18 вересня 2018 року у справі заявниці</w:t>
      </w:r>
      <w:r>
        <w:rPr>
          <w:rFonts w:ascii="Times New Roman" w:hAnsi="Times New Roman"/>
          <w:lang w:val="uk-UA"/>
        </w:rPr>
        <w:t xml:space="preserve">.</w:t>
      </w:r>
      <w:r/>
    </w:p>
    <w:p>
      <w:pPr>
        <w:pStyle w:val="65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 Європейського суду </w:t>
      </w:r>
      <w:r>
        <w:rPr>
          <w:rFonts w:ascii="Times New Roman" w:hAnsi="Times New Roman"/>
          <w:lang w:val="uk-UA"/>
        </w:rPr>
        <w:t xml:space="preserve">з прав людини (далі – Європейський суд) </w:t>
      </w:r>
      <w:r>
        <w:rPr>
          <w:rFonts w:ascii="Times New Roman" w:hAnsi="Times New Roman"/>
          <w:lang w:val="uk-UA"/>
        </w:rPr>
        <w:t xml:space="preserve">заявни</w:t>
      </w:r>
      <w:r>
        <w:rPr>
          <w:rFonts w:ascii="Times New Roman" w:hAnsi="Times New Roman"/>
          <w:lang w:val="uk-UA"/>
        </w:rPr>
        <w:t xml:space="preserve">ця</w:t>
      </w:r>
      <w:r>
        <w:rPr>
          <w:rFonts w:ascii="Times New Roman" w:hAnsi="Times New Roman"/>
          <w:lang w:val="uk-UA"/>
        </w:rPr>
        <w:t xml:space="preserve"> скаржил</w:t>
      </w:r>
      <w:r>
        <w:rPr>
          <w:rFonts w:ascii="Times New Roman" w:hAnsi="Times New Roman"/>
          <w:lang w:val="uk-UA"/>
        </w:rPr>
        <w:t xml:space="preserve">а</w:t>
      </w:r>
      <w:r>
        <w:rPr>
          <w:rFonts w:ascii="Times New Roman" w:hAnsi="Times New Roman"/>
          <w:lang w:val="uk-UA"/>
        </w:rPr>
        <w:t xml:space="preserve">ся за статтею 10</w:t>
      </w:r>
      <w:r>
        <w:rPr>
          <w:rFonts w:ascii="Times New Roman" w:hAnsi="Times New Roman"/>
          <w:lang w:val="uk-UA"/>
        </w:rPr>
        <w:t xml:space="preserve"> Конвенції про захист прав людини і основопол</w:t>
      </w:r>
      <w:r>
        <w:rPr>
          <w:rFonts w:ascii="Times New Roman" w:hAnsi="Times New Roman"/>
          <w:lang w:val="uk-UA"/>
        </w:rPr>
        <w:t xml:space="preserve">ожних свобод (далі – Конвенція)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на </w:t>
      </w:r>
      <w:r>
        <w:rPr>
          <w:rFonts w:ascii="Times New Roman" w:hAnsi="Times New Roman"/>
          <w:lang w:val="uk-UA"/>
        </w:rPr>
        <w:t xml:space="preserve">надання судом дозволу ГПУ на доступ до інформації щодо вхідних і вихідних з’єднань з її мобільного телефону, що</w:t>
      </w:r>
      <w:r>
        <w:rPr>
          <w:rFonts w:ascii="Times New Roman" w:hAnsi="Times New Roman"/>
          <w:lang w:val="uk-UA"/>
        </w:rPr>
        <w:t xml:space="preserve">, на її думку,</w:t>
      </w:r>
      <w:r>
        <w:rPr>
          <w:rFonts w:ascii="Times New Roman" w:hAnsi="Times New Roman"/>
          <w:lang w:val="uk-UA"/>
        </w:rPr>
        <w:t xml:space="preserve"> становило невиправдане втручання у її право на захист журналістських джерел інформації</w:t>
      </w:r>
      <w:r>
        <w:rPr>
          <w:rFonts w:ascii="Times New Roman" w:hAnsi="Times New Roman"/>
          <w:lang w:val="uk-UA"/>
        </w:rPr>
        <w:t xml:space="preserve">; </w:t>
      </w:r>
      <w:r>
        <w:rPr>
          <w:rFonts w:ascii="Times New Roman" w:hAnsi="Times New Roman"/>
          <w:lang w:val="uk-UA"/>
        </w:rPr>
        <w:t xml:space="preserve">за статтею 13 Конвенції у зв’язку з відсутністю ефективних засобів юридичного захисту щодо її скарг за статтею 10 Конвенції.</w:t>
      </w:r>
      <w:r/>
    </w:p>
    <w:p>
      <w:pPr>
        <w:pStyle w:val="65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Розглянувши скаргу заявниці, Європейський суд</w:t>
      </w:r>
      <w:r>
        <w:rPr>
          <w:rFonts w:ascii="Times New Roman" w:hAnsi="Times New Roman"/>
          <w:lang w:val="uk-UA"/>
        </w:rPr>
        <w:t xml:space="preserve">, насамперед, зазначив, що дозвіл на доступ до інформації з телефону заявниці незалежно від виконання будь-якої</w:t>
      </w:r>
      <w:r>
        <w:rPr>
          <w:rFonts w:ascii="Times New Roman" w:hAnsi="Times New Roman"/>
          <w:lang w:val="uk-UA"/>
        </w:rPr>
        <w:t xml:space="preserve"> з двох ухвал</w:t>
      </w:r>
      <w:r>
        <w:rPr>
          <w:rFonts w:ascii="Times New Roman" w:hAnsi="Times New Roman"/>
          <w:lang w:val="uk-UA"/>
        </w:rPr>
        <w:t xml:space="preserve"> становив «втручання» у права з</w:t>
      </w:r>
      <w:r>
        <w:rPr>
          <w:rFonts w:ascii="Times New Roman" w:hAnsi="Times New Roman"/>
          <w:lang w:val="uk-UA"/>
        </w:rPr>
        <w:t xml:space="preserve">аявниці за статтею 10 Конвенції, і </w:t>
      </w:r>
      <w:r>
        <w:rPr>
          <w:rFonts w:ascii="Times New Roman" w:hAnsi="Times New Roman"/>
          <w:lang w:val="uk-UA"/>
        </w:rPr>
        <w:t xml:space="preserve">що </w:t>
      </w:r>
      <w:r>
        <w:rPr>
          <w:rFonts w:ascii="Times New Roman" w:hAnsi="Times New Roman"/>
          <w:lang w:val="uk-UA"/>
        </w:rPr>
        <w:t xml:space="preserve">таке втручання переслідувало деякі із законних цілей, передбачен</w:t>
      </w:r>
      <w:r>
        <w:rPr>
          <w:rFonts w:ascii="Times New Roman" w:hAnsi="Times New Roman"/>
          <w:lang w:val="uk-UA"/>
        </w:rPr>
        <w:t xml:space="preserve">их</w:t>
      </w:r>
      <w:r>
        <w:rPr>
          <w:rFonts w:ascii="Times New Roman" w:hAnsi="Times New Roman"/>
          <w:lang w:val="uk-UA"/>
        </w:rPr>
        <w:t xml:space="preserve"> пунктом 2 статті 10 Конвенції, зокрема, «запобігання ... злочинам» і «захист репутації чи прав інших осіб».</w:t>
      </w:r>
      <w:r>
        <w:rPr>
          <w:rFonts w:ascii="Times New Roman" w:hAnsi="Times New Roman"/>
          <w:lang w:val="uk-UA"/>
        </w:rPr>
        <w:t xml:space="preserve"> Європейський суд </w:t>
      </w:r>
      <w:r>
        <w:rPr>
          <w:rFonts w:ascii="Times New Roman" w:hAnsi="Times New Roman"/>
          <w:lang w:val="uk-UA"/>
        </w:rPr>
        <w:t xml:space="preserve">зазначи</w:t>
      </w:r>
      <w:r>
        <w:rPr>
          <w:rFonts w:ascii="Times New Roman" w:hAnsi="Times New Roman"/>
          <w:lang w:val="uk-UA"/>
        </w:rPr>
        <w:t xml:space="preserve">в, що ухвала суду</w:t>
      </w:r>
      <w:r>
        <w:rPr>
          <w:rFonts w:ascii="Times New Roman" w:hAnsi="Times New Roman"/>
          <w:lang w:val="uk-UA"/>
        </w:rPr>
        <w:t xml:space="preserve"> від 27 серпня 2018 року</w:t>
      </w:r>
      <w:r>
        <w:rPr>
          <w:rFonts w:ascii="Times New Roman" w:hAnsi="Times New Roman"/>
          <w:lang w:val="uk-UA"/>
        </w:rPr>
        <w:t xml:space="preserve"> у справі заявниці була постановлена під час засідання </w:t>
      </w:r>
      <w:r>
        <w:rPr>
          <w:rFonts w:ascii="Times New Roman" w:hAnsi="Times New Roman"/>
          <w:i/>
          <w:lang w:val="uk-UA"/>
        </w:rPr>
        <w:t xml:space="preserve">ex parte,</w:t>
      </w:r>
      <w:r>
        <w:rPr>
          <w:rFonts w:ascii="Times New Roman" w:hAnsi="Times New Roman"/>
          <w:lang w:val="uk-UA"/>
        </w:rPr>
        <w:t xml:space="preserve"> що дозволено Кримінальним процесуальним кодексом України у виняткових випадках, </w:t>
      </w:r>
      <w:r>
        <w:rPr>
          <w:rFonts w:ascii="Times New Roman" w:hAnsi="Times New Roman"/>
          <w:lang w:val="uk-UA"/>
        </w:rPr>
        <w:t xml:space="preserve">однак </w:t>
      </w:r>
      <w:r>
        <w:rPr>
          <w:rFonts w:ascii="Times New Roman" w:hAnsi="Times New Roman"/>
          <w:lang w:val="uk-UA"/>
        </w:rPr>
        <w:t xml:space="preserve">закон не передбачав процесуальних гарантій захисту.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Тому </w:t>
      </w:r>
      <w:r>
        <w:rPr>
          <w:rFonts w:ascii="Times New Roman" w:hAnsi="Times New Roman"/>
          <w:lang w:val="uk-UA"/>
        </w:rPr>
        <w:t xml:space="preserve">Європейський суд висловив свою занепокоєність тим фактом, що якби заявниця випадково не дізналася </w:t>
      </w:r>
      <w:r>
        <w:rPr>
          <w:rFonts w:ascii="Times New Roman" w:hAnsi="Times New Roman"/>
          <w:lang w:val="uk-UA"/>
        </w:rPr>
        <w:t xml:space="preserve">про ухвалу суду, вона</w:t>
      </w:r>
      <w:r>
        <w:rPr>
          <w:rFonts w:ascii="Times New Roman" w:hAnsi="Times New Roman"/>
          <w:lang w:val="uk-UA"/>
        </w:rPr>
        <w:t xml:space="preserve"> не змогла б скористатися жодною наявною у національному законодавстві процесуальною гарантією для захисту своїх прав.</w:t>
      </w:r>
      <w:r>
        <w:rPr>
          <w:rFonts w:ascii="Times New Roman" w:hAnsi="Times New Roman"/>
          <w:lang w:val="uk-UA"/>
        </w:rPr>
        <w:t xml:space="preserve"> </w:t>
      </w:r>
      <w:r/>
    </w:p>
    <w:p>
      <w:pPr>
        <w:pStyle w:val="65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Крім того, Європейський суд дійшов висновку, що </w:t>
      </w:r>
      <w:r>
        <w:rPr>
          <w:rFonts w:ascii="Times New Roman" w:hAnsi="Times New Roman"/>
          <w:lang w:val="uk-UA"/>
        </w:rPr>
        <w:t xml:space="preserve">наведені національними судами підстави для втручання у права заявниці були недостатніми, аби воно було пропорційним і відповідало нагальній </w:t>
      </w:r>
      <w:r>
        <w:rPr>
          <w:rFonts w:ascii="Times New Roman" w:hAnsi="Times New Roman"/>
          <w:lang w:val="uk-UA"/>
        </w:rPr>
        <w:t xml:space="preserve">суспільній потребі</w:t>
      </w:r>
      <w:r>
        <w:rPr>
          <w:rFonts w:ascii="Times New Roman" w:hAnsi="Times New Roman"/>
          <w:lang w:val="uk-UA"/>
        </w:rPr>
        <w:t xml:space="preserve">, а саме</w:t>
      </w:r>
      <w:r>
        <w:rPr>
          <w:rFonts w:ascii="Times New Roman" w:hAnsi="Times New Roman"/>
          <w:lang w:val="uk-UA"/>
        </w:rPr>
        <w:t xml:space="preserve">: дозвіл </w:t>
      </w:r>
      <w:r>
        <w:rPr>
          <w:rFonts w:ascii="Times New Roman" w:hAnsi="Times New Roman"/>
          <w:lang w:val="uk-UA"/>
        </w:rPr>
        <w:t xml:space="preserve">суду </w:t>
      </w:r>
      <w:r>
        <w:rPr>
          <w:rFonts w:ascii="Times New Roman" w:hAnsi="Times New Roman"/>
          <w:lang w:val="uk-UA"/>
        </w:rPr>
        <w:t xml:space="preserve">був наданий на збір великої кількості даних</w:t>
      </w:r>
      <w:r>
        <w:rPr>
          <w:rFonts w:ascii="Times New Roman" w:hAnsi="Times New Roman"/>
          <w:lang w:val="uk-UA"/>
        </w:rPr>
        <w:t xml:space="preserve">; </w:t>
      </w:r>
      <w:r>
        <w:rPr>
          <w:rFonts w:ascii="Times New Roman" w:hAnsi="Times New Roman"/>
          <w:lang w:val="uk-UA"/>
        </w:rPr>
        <w:t xml:space="preserve">робота </w:t>
      </w:r>
      <w:r>
        <w:rPr>
          <w:rFonts w:ascii="Times New Roman" w:hAnsi="Times New Roman"/>
          <w:lang w:val="uk-UA"/>
        </w:rPr>
        <w:t xml:space="preserve">заявниці як журналіста бул</w:t>
      </w:r>
      <w:r>
        <w:rPr>
          <w:rFonts w:ascii="Times New Roman" w:hAnsi="Times New Roman"/>
          <w:lang w:val="uk-UA"/>
        </w:rPr>
        <w:t xml:space="preserve">а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зосереджен</w:t>
      </w:r>
      <w:r>
        <w:rPr>
          <w:rFonts w:ascii="Times New Roman" w:hAnsi="Times New Roman"/>
          <w:lang w:val="uk-UA"/>
        </w:rPr>
        <w:t xml:space="preserve">а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на розслідуванні випадків корупції серед </w:t>
      </w:r>
      <w:r>
        <w:rPr>
          <w:rFonts w:ascii="Times New Roman" w:hAnsi="Times New Roman"/>
          <w:lang w:val="uk-UA"/>
        </w:rPr>
        <w:t xml:space="preserve">високопосадових осіб</w:t>
      </w:r>
      <w:r>
        <w:rPr>
          <w:rFonts w:ascii="Times New Roman" w:hAnsi="Times New Roman"/>
          <w:lang w:val="uk-UA"/>
        </w:rPr>
        <w:t xml:space="preserve">; зібрана інформація могла стати доступною для широкого кола працівників ГПУ та бути </w:t>
      </w:r>
      <w:r>
        <w:rPr>
          <w:rFonts w:ascii="Times New Roman" w:hAnsi="Times New Roman"/>
          <w:lang w:val="uk-UA"/>
        </w:rPr>
        <w:t xml:space="preserve">використана </w:t>
      </w:r>
      <w:r>
        <w:rPr>
          <w:rFonts w:ascii="Times New Roman" w:hAnsi="Times New Roman"/>
          <w:lang w:val="uk-UA"/>
        </w:rPr>
        <w:t xml:space="preserve">не за призначенням. </w:t>
      </w:r>
      <w:r>
        <w:rPr>
          <w:rFonts w:ascii="Times New Roman" w:hAnsi="Times New Roman"/>
          <w:lang w:val="uk-UA"/>
        </w:rPr>
        <w:t xml:space="preserve">Європейський суд зазначив, що </w:t>
      </w:r>
      <w:r>
        <w:rPr>
          <w:rFonts w:ascii="Times New Roman" w:hAnsi="Times New Roman"/>
          <w:lang w:val="uk-UA"/>
        </w:rPr>
        <w:t xml:space="preserve">апеляційний суд </w:t>
      </w:r>
      <w:r>
        <w:rPr>
          <w:rFonts w:ascii="Times New Roman" w:hAnsi="Times New Roman"/>
          <w:lang w:val="uk-UA"/>
        </w:rPr>
        <w:t xml:space="preserve">у своїй ухвалі від 18 вересня 2018 року </w:t>
      </w:r>
      <w:r>
        <w:rPr>
          <w:rFonts w:ascii="Times New Roman" w:hAnsi="Times New Roman"/>
          <w:lang w:val="uk-UA"/>
        </w:rPr>
        <w:t xml:space="preserve">недостатн</w:t>
      </w:r>
      <w:r>
        <w:rPr>
          <w:rFonts w:ascii="Times New Roman" w:hAnsi="Times New Roman"/>
          <w:lang w:val="uk-UA"/>
        </w:rPr>
        <w:t xml:space="preserve">ьою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мірою </w:t>
      </w:r>
      <w:r>
        <w:rPr>
          <w:rFonts w:ascii="Times New Roman" w:hAnsi="Times New Roman"/>
          <w:lang w:val="uk-UA"/>
        </w:rPr>
        <w:t xml:space="preserve">обґрунтував </w:t>
      </w:r>
      <w:r>
        <w:rPr>
          <w:rFonts w:ascii="Times New Roman" w:hAnsi="Times New Roman"/>
          <w:lang w:val="uk-UA"/>
        </w:rPr>
        <w:t xml:space="preserve">необхідність </w:t>
      </w:r>
      <w:r>
        <w:rPr>
          <w:rFonts w:ascii="Times New Roman" w:hAnsi="Times New Roman"/>
          <w:lang w:val="uk-UA"/>
        </w:rPr>
        <w:t xml:space="preserve">доступу до</w:t>
      </w:r>
      <w:r>
        <w:rPr>
          <w:rFonts w:ascii="Times New Roman" w:hAnsi="Times New Roman"/>
          <w:lang w:val="uk-UA"/>
        </w:rPr>
        <w:t xml:space="preserve"> інформації</w:t>
      </w:r>
      <w:r>
        <w:rPr>
          <w:rFonts w:ascii="Times New Roman" w:hAnsi="Times New Roman"/>
          <w:lang w:val="uk-UA"/>
        </w:rPr>
        <w:t xml:space="preserve"> з телефону заявниці</w:t>
      </w:r>
      <w:r>
        <w:rPr>
          <w:rFonts w:ascii="Times New Roman" w:hAnsi="Times New Roman"/>
          <w:lang w:val="uk-UA"/>
        </w:rPr>
        <w:t xml:space="preserve">, та вказав,</w:t>
      </w:r>
      <w:r>
        <w:rPr>
          <w:rFonts w:ascii="Times New Roman" w:hAnsi="Times New Roman"/>
          <w:lang w:val="uk-UA"/>
        </w:rPr>
        <w:t xml:space="preserve"> що </w:t>
      </w:r>
      <w:r>
        <w:rPr>
          <w:rFonts w:ascii="Times New Roman" w:hAnsi="Times New Roman"/>
          <w:lang w:val="uk-UA"/>
        </w:rPr>
        <w:t xml:space="preserve">не переконаний, що наданий національними судами дозвіл на доступ до </w:t>
      </w:r>
      <w:r>
        <w:rPr>
          <w:rFonts w:ascii="Times New Roman" w:hAnsi="Times New Roman"/>
          <w:lang w:val="uk-UA"/>
        </w:rPr>
        <w:t xml:space="preserve">інформації з телефону заявниці</w:t>
      </w:r>
      <w:r>
        <w:rPr>
          <w:rFonts w:ascii="Times New Roman" w:hAnsi="Times New Roman"/>
          <w:lang w:val="uk-UA"/>
        </w:rPr>
        <w:t xml:space="preserve"> був виправданий «</w:t>
      </w:r>
      <w:r>
        <w:rPr>
          <w:rFonts w:ascii="Times New Roman" w:hAnsi="Times New Roman"/>
          <w:lang w:val="uk-UA"/>
        </w:rPr>
        <w:t xml:space="preserve">головн</w:t>
      </w:r>
      <w:r>
        <w:rPr>
          <w:rFonts w:ascii="Times New Roman" w:hAnsi="Times New Roman"/>
          <w:lang w:val="uk-UA"/>
        </w:rPr>
        <w:t xml:space="preserve">ою вимо</w:t>
      </w:r>
      <w:r>
        <w:rPr>
          <w:rFonts w:ascii="Times New Roman" w:hAnsi="Times New Roman"/>
          <w:lang w:val="uk-UA"/>
        </w:rPr>
        <w:t xml:space="preserve">гою в інтересах суспільства» </w:t>
      </w:r>
      <w:r>
        <w:rPr>
          <w:rFonts w:ascii="Times New Roman" w:hAnsi="Times New Roman"/>
          <w:lang w:val="uk-UA"/>
        </w:rPr>
        <w:t xml:space="preserve">і був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необхідним </w:t>
      </w:r>
      <w:r>
        <w:rPr>
          <w:rFonts w:ascii="Times New Roman" w:hAnsi="Times New Roman"/>
          <w:lang w:val="uk-UA"/>
        </w:rPr>
        <w:t xml:space="preserve">у демократичному суспільстві</w:t>
      </w:r>
      <w:r>
        <w:rPr>
          <w:rFonts w:ascii="Times New Roman" w:hAnsi="Times New Roman"/>
          <w:lang w:val="uk-UA"/>
        </w:rPr>
        <w:t xml:space="preserve">. Європейський суд </w:t>
      </w:r>
      <w:r>
        <w:rPr>
          <w:rFonts w:ascii="Times New Roman" w:hAnsi="Times New Roman"/>
          <w:lang w:val="uk-UA"/>
        </w:rPr>
        <w:t xml:space="preserve">констатував порушення </w:t>
      </w:r>
      <w:r>
        <w:rPr>
          <w:rFonts w:ascii="Times New Roman" w:hAnsi="Times New Roman"/>
          <w:lang w:val="uk-UA"/>
        </w:rPr>
        <w:t xml:space="preserve"> статті 10 Конвенції.</w:t>
      </w:r>
      <w:r/>
    </w:p>
    <w:p>
      <w:pPr>
        <w:pStyle w:val="65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Розглянувши скаргу заявниці за статтею 13 Конвенції, Європейський суд зауважив, що з огляду на його висновки за статтею 10 Конвенції немає необхідності розглядати цю скаргу</w:t>
      </w:r>
      <w:r>
        <w:rPr>
          <w:rFonts w:ascii="Times New Roman" w:hAnsi="Times New Roman"/>
          <w:lang w:val="uk-UA"/>
        </w:rPr>
        <w:t xml:space="preserve"> за статтею 13 Конвенції.</w:t>
      </w:r>
      <w:r/>
    </w:p>
    <w:p>
      <w:pPr>
        <w:pStyle w:val="65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Також у </w:t>
      </w:r>
      <w:bookmarkStart w:id="0" w:name="_GoBack"/>
      <w:r>
        <w:rPr>
          <w:rFonts w:ascii="Times New Roman" w:hAnsi="Times New Roman"/>
          <w:lang w:val="uk-UA"/>
        </w:rPr>
        <w:t xml:space="preserve">зв’язку із закінченням строку дії наданого національними судами ГПУ дозволу на доступ до інформації з телефону заявниці Європейський суд скасував </w:t>
      </w:r>
      <w:r>
        <w:rPr>
          <w:rFonts w:ascii="Times New Roman" w:hAnsi="Times New Roman"/>
          <w:lang w:val="uk-UA"/>
        </w:rPr>
        <w:t xml:space="preserve">вжиття зах</w:t>
      </w:r>
      <w:bookmarkEnd w:id="0"/>
      <w:r>
        <w:rPr>
          <w:rFonts w:ascii="Times New Roman" w:hAnsi="Times New Roman"/>
          <w:lang w:val="uk-UA"/>
        </w:rPr>
        <w:t xml:space="preserve">одів на виконання вказівок, наданих Уряду України відповідно до правила 39 Регламенту Суду</w:t>
      </w:r>
      <w:r>
        <w:rPr>
          <w:rFonts w:ascii="Times New Roman" w:hAnsi="Times New Roman"/>
          <w:lang w:val="uk-UA"/>
        </w:rPr>
        <w:t xml:space="preserve">.</w:t>
      </w:r>
      <w:r/>
    </w:p>
    <w:p>
      <w:pPr>
        <w:pStyle w:val="650"/>
        <w:ind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pStyle w:val="650"/>
        <w:ind w:firstLine="0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/>
          <w:lang w:val="uk-UA"/>
        </w:rPr>
        <w:t xml:space="preserve">ЗА ЦИХ ПІДСТАВ СУД ОДНОГОЛОСНО</w:t>
      </w:r>
      <w:r/>
    </w:p>
    <w:p>
      <w:pPr>
        <w:pStyle w:val="650"/>
        <w:ind w:firstLine="0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/>
    </w:p>
    <w:p>
      <w:pPr>
        <w:pStyle w:val="652"/>
        <w:rPr>
          <w:rFonts w:ascii="Times New Roman" w:hAnsi="Times New Roman" w:cs="Times New Roman"/>
          <w:lang w:val="uk-UA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 w:cs="Times New Roman"/>
          <w:i/>
          <w:lang w:val="uk-UA"/>
        </w:rPr>
        <w:t xml:space="preserve">« </w:t>
      </w:r>
      <w:r>
        <w:rPr>
          <w:rFonts w:ascii="Times New Roman" w:hAnsi="Times New Roman" w:cs="Times New Roman"/>
          <w:lang w:val="uk-UA"/>
        </w:rPr>
        <w:t xml:space="preserve">1</w:t>
      </w:r>
      <w:r>
        <w:rPr>
          <w:rFonts w:ascii="Times New Roman" w:hAnsi="Times New Roman" w:cs="Times New Roman"/>
          <w:i/>
          <w:lang w:val="uk-UA"/>
        </w:rPr>
        <w:t xml:space="preserve">. </w:t>
      </w:r>
      <w:r>
        <w:rPr>
          <w:rFonts w:ascii="Times New Roman" w:hAnsi="Times New Roman" w:cs="Times New Roman"/>
          <w:i/>
          <w:iCs/>
          <w:lang w:val="uk-UA"/>
        </w:rPr>
        <w:t xml:space="preserve">Оголошує</w:t>
      </w:r>
      <w:r>
        <w:rPr>
          <w:rFonts w:ascii="Times New Roman" w:hAnsi="Times New Roman" w:cs="Times New Roman"/>
          <w:lang w:val="uk-UA"/>
        </w:rPr>
        <w:t xml:space="preserve"> прийнятною скаргу за статтею 10 Конвенції;</w:t>
      </w:r>
      <w:r/>
    </w:p>
    <w:p>
      <w:pPr>
        <w:pStyle w:val="652"/>
        <w:rPr>
          <w:rFonts w:ascii="Times New Roman" w:hAnsi="Times New Roman" w:cs="Times New Roman"/>
          <w:lang w:val="uk-UA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 w:cs="Times New Roman"/>
          <w:lang w:val="uk-UA"/>
        </w:rPr>
        <w:t xml:space="preserve">2.</w:t>
      </w:r>
      <w:r>
        <w:rPr>
          <w:rFonts w:ascii="Times New Roman" w:hAnsi="Times New Roman" w:cs="Times New Roman"/>
          <w:i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lang w:val="uk-UA"/>
        </w:rPr>
        <w:t xml:space="preserve">Постановляє</w:t>
      </w:r>
      <w:r>
        <w:rPr>
          <w:rFonts w:ascii="Times New Roman" w:hAnsi="Times New Roman" w:cs="Times New Roman"/>
          <w:lang w:val="uk-UA"/>
        </w:rPr>
        <w:t xml:space="preserve">, що було порушено статтю 10 Конвенції;</w:t>
      </w:r>
      <w:r/>
    </w:p>
    <w:p>
      <w:pPr>
        <w:pStyle w:val="652"/>
        <w:rPr>
          <w:rFonts w:ascii="Times New Roman" w:hAnsi="Times New Roman" w:cs="Times New Roman"/>
          <w:lang w:val="uk-UA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 w:cs="Times New Roman"/>
          <w:lang w:val="uk-UA"/>
        </w:rPr>
        <w:t xml:space="preserve">3.</w:t>
      </w:r>
      <w:r>
        <w:rPr>
          <w:rFonts w:ascii="Times New Roman" w:hAnsi="Times New Roman" w:cs="Times New Roman"/>
          <w:i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lang w:val="uk-UA"/>
        </w:rPr>
        <w:t xml:space="preserve">Постановляє</w:t>
      </w:r>
      <w:r>
        <w:rPr>
          <w:rFonts w:ascii="Times New Roman" w:hAnsi="Times New Roman" w:cs="Times New Roman"/>
          <w:lang w:val="uk-UA"/>
        </w:rPr>
        <w:t xml:space="preserve">, що немає необхідності розглядати скаргу за статтею 13 Конвенції;</w:t>
      </w:r>
      <w:r/>
    </w:p>
    <w:p>
      <w:pPr>
        <w:pStyle w:val="652"/>
        <w:rPr>
          <w:rFonts w:ascii="Times New Roman" w:hAnsi="Times New Roman" w:cs="Times New Roman"/>
          <w:lang w:val="uk-UA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 w:cs="Times New Roman"/>
          <w:lang w:val="uk-UA"/>
        </w:rPr>
        <w:t xml:space="preserve">4.</w:t>
      </w:r>
      <w:r>
        <w:rPr>
          <w:rFonts w:ascii="Times New Roman" w:hAnsi="Times New Roman" w:cs="Times New Roman"/>
          <w:i/>
          <w:lang w:val="uk-UA"/>
        </w:rPr>
        <w:t xml:space="preserve"> Постановляє, </w:t>
      </w:r>
      <w:r>
        <w:rPr>
          <w:rFonts w:ascii="Times New Roman" w:hAnsi="Times New Roman" w:cs="Times New Roman"/>
          <w:iCs/>
          <w:lang w:val="uk-UA"/>
        </w:rPr>
        <w:t xml:space="preserve">що:</w:t>
      </w:r>
      <w:r/>
    </w:p>
    <w:p>
      <w:pPr>
        <w:pStyle w:val="653"/>
        <w:numPr>
          <w:ilvl w:val="1"/>
          <w:numId w:val="1"/>
        </w:num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упродовж трьох місяців </w:t>
      </w:r>
      <w:r>
        <w:rPr>
          <w:rFonts w:ascii="Times New Roman" w:hAnsi="Times New Roman"/>
          <w:lang w:val="uk-UA"/>
        </w:rPr>
        <w:t xml:space="preserve">з дати, коли це рішення набуде статусу остаточного відповідно до пункту 2 статті 44 Конвенції, держава-відповідач повинна сплатити заявниці такі суми, які мають бути конвертовані в національну валюту держави-відповідача за курсом на день здійснення платежу</w:t>
      </w:r>
      <w:r>
        <w:rPr>
          <w:rStyle w:val="665"/>
          <w:rFonts w:ascii="Times New Roman" w:hAnsi="Times New Roman"/>
          <w:color w:val="000000"/>
          <w:shd w:val="clear" w:color="auto" w:fill="ffffff"/>
          <w:lang w:val="uk-UA"/>
        </w:rPr>
        <w:t xml:space="preserve">:</w:t>
      </w:r>
      <w:r/>
    </w:p>
    <w:p>
      <w:pPr>
        <w:pStyle w:val="654"/>
        <w:numPr>
          <w:ilvl w:val="2"/>
          <w:numId w:val="1"/>
        </w:num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4 500 (чотири тисячі п’ятсот) </w:t>
      </w:r>
      <w:r>
        <w:rPr>
          <w:rStyle w:val="665"/>
          <w:rFonts w:ascii="Times New Roman" w:hAnsi="Times New Roman"/>
          <w:color w:val="000000"/>
          <w:shd w:val="clear" w:color="auto" w:fill="ffffff"/>
          <w:lang w:val="uk-UA"/>
        </w:rPr>
        <w:t xml:space="preserve">євро та додатково суму будь-якого податку, що може нараховуватися, в якості відшкодування моральної шкоди;</w:t>
      </w:r>
      <w:r/>
    </w:p>
    <w:p>
      <w:pPr>
        <w:pStyle w:val="654"/>
        <w:numPr>
          <w:ilvl w:val="2"/>
          <w:numId w:val="1"/>
        </w:num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2 350 (дві тисячі триста п’ятдесят) євро та </w:t>
      </w:r>
      <w:r>
        <w:rPr>
          <w:rStyle w:val="665"/>
          <w:rFonts w:ascii="Times New Roman" w:hAnsi="Times New Roman"/>
          <w:color w:val="000000"/>
          <w:shd w:val="clear" w:color="auto" w:fill="ffffff"/>
          <w:lang w:val="uk-UA"/>
        </w:rPr>
        <w:t xml:space="preserve">додатково суму будь-якого податку, що може нараховуватися заявниці, в якості компенсації витрат на правову допомогу</w:t>
      </w:r>
      <w:r>
        <w:rPr>
          <w:rFonts w:ascii="Times New Roman" w:hAnsi="Times New Roman"/>
          <w:lang w:val="uk-UA"/>
        </w:rPr>
        <w:t xml:space="preserve">;</w:t>
      </w:r>
      <w:r/>
    </w:p>
    <w:p>
      <w:pPr>
        <w:pStyle w:val="653"/>
        <w:numPr>
          <w:ilvl w:val="1"/>
          <w:numId w:val="1"/>
        </w:numPr>
        <w:rPr>
          <w:rFonts w:ascii="Times New Roman" w:hAnsi="Times New Roman"/>
          <w:lang w:val="uk-UA"/>
        </w:rPr>
      </w:pPr>
      <w:r>
        <w:rPr>
          <w:rStyle w:val="665"/>
          <w:rFonts w:ascii="Times New Roman" w:hAnsi="Times New Roman"/>
          <w:color w:val="000000"/>
          <w:shd w:val="clear" w:color="auto" w:fill="ffffff"/>
          <w:lang w:val="uk-UA"/>
        </w:rPr>
        <w:t xml:space="preserve">із закінченням зазначеного тримісячного строку до остаточного розрахунку на зазначені суми нараховуватиметься простий відсоток (</w:t>
      </w:r>
      <w:r>
        <w:rPr>
          <w:rStyle w:val="664"/>
          <w:rFonts w:ascii="Times New Roman" w:hAnsi="Times New Roman"/>
          <w:i/>
          <w:iCs/>
          <w:color w:val="000000"/>
          <w:shd w:val="clear" w:color="auto" w:fill="ffffff"/>
          <w:lang w:val="uk-UA"/>
        </w:rPr>
        <w:t xml:space="preserve">simple interest</w:t>
      </w:r>
      <w:r>
        <w:rPr>
          <w:rStyle w:val="665"/>
          <w:rFonts w:ascii="Times New Roman" w:hAnsi="Times New Roman"/>
          <w:color w:val="000000"/>
          <w:shd w:val="clear" w:color="auto" w:fill="ffffff"/>
          <w:lang w:val="uk-UA"/>
        </w:rPr>
        <w:t xml:space="preserve">) у розмірі граничної позичкової ставки Європейського центрального банку, яка діятиме в період несплати, до якої має бути додано три відсоткові пункти</w:t>
      </w:r>
      <w:r>
        <w:rPr>
          <w:rFonts w:ascii="Times New Roman" w:hAnsi="Times New Roman"/>
          <w:lang w:val="uk-UA"/>
        </w:rPr>
        <w:t xml:space="preserve">;</w:t>
      </w:r>
      <w:r/>
    </w:p>
    <w:p>
      <w:pPr>
        <w:pStyle w:val="653"/>
        <w:ind w:left="0" w:firstLine="0"/>
        <w:tabs>
          <w:tab w:val="clear" w:pos="68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iCs/>
          <w:lang w:val="uk-UA"/>
        </w:rPr>
        <w:t xml:space="preserve">5.</w:t>
      </w:r>
      <w:r>
        <w:rPr>
          <w:rFonts w:ascii="Times New Roman" w:hAnsi="Times New Roman"/>
          <w:i/>
          <w:iCs/>
          <w:lang w:val="uk-UA"/>
        </w:rPr>
        <w:t xml:space="preserve"> Відхиляє</w:t>
      </w:r>
      <w:r>
        <w:rPr>
          <w:rFonts w:ascii="Times New Roman" w:hAnsi="Times New Roman"/>
          <w:lang w:val="uk-UA"/>
        </w:rPr>
        <w:t xml:space="preserve"> решту вимог заявниці щодо справедливої сатисфакції</w:t>
      </w:r>
      <w:r>
        <w:rPr>
          <w:rFonts w:ascii="Times New Roman" w:hAnsi="Times New Roman"/>
          <w:lang w:val="uk-UA"/>
        </w:rPr>
        <w:t xml:space="preserve">».</w:t>
      </w:r>
      <w:r/>
    </w:p>
    <w:sectPr>
      <w:footnotePr/>
      <w:endnotePr/>
      <w:type w:val="nextPage"/>
      <w:pgSz w:w="11900" w:h="16840" w:orient="portrait"/>
      <w:pgMar w:top="567" w:right="624" w:bottom="567" w:left="720" w:header="709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ahoma">
    <w:panose1 w:val="020B0604030504040204"/>
  </w:font>
  <w:font w:name="Helvetica Neue">
    <w:panose1 w:val="020B0603030804020204"/>
  </w:font>
  <w:font w:name="Calibri">
    <w:panose1 w:val="020F0502020204030204"/>
  </w:font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0" w:hanging="180"/>
      </w:pPr>
    </w:lvl>
  </w:abstractNum>
  <w:abstractNum w:abstractNumId="1">
    <w:multiLevelType w:val="hybridMultilevel"/>
    <w:styleLink w:val="659"/>
    <w:lvl w:ilvl="0">
      <w:start w:val="1"/>
      <w:numFmt w:val="decimal"/>
      <w:pStyle w:val="659"/>
      <w:isLgl w:val="false"/>
      <w:suff w:val="tab"/>
      <w:lvlText w:val="%1."/>
      <w:lvlJc w:val="left"/>
      <w:pPr>
        <w:ind w:left="340" w:hanging="340"/>
        <w:tabs>
          <w:tab w:val="num" w:pos="3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(%2)"/>
      <w:lvlJc w:val="left"/>
      <w:pPr>
        <w:ind w:left="680" w:hanging="340"/>
        <w:tabs>
          <w:tab w:val="num" w:pos="680" w:leader="none"/>
        </w:tabs>
      </w:pPr>
      <w:rPr>
        <w:rFonts w:hint="default"/>
      </w:rPr>
    </w:lvl>
    <w:lvl w:ilvl="2">
      <w:start w:val="1"/>
      <w:numFmt w:val="lowerRoman"/>
      <w:isLgl w:val="false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2" w:hanging="340"/>
        <w:tabs>
          <w:tab w:val="num" w:pos="482" w:leader="none"/>
        </w:tabs>
      </w:pPr>
      <w:rPr>
        <w:rFonts w:hint="default"/>
        <w:i w:val="0"/>
        <w:iCs/>
      </w:rPr>
    </w:lvl>
    <w:lvl w:ilvl="1">
      <w:start w:val="1"/>
      <w:numFmt w:val="lowerLetter"/>
      <w:isLgl w:val="false"/>
      <w:suff w:val="tab"/>
      <w:lvlText w:val="(%2)"/>
      <w:lvlJc w:val="left"/>
      <w:pPr>
        <w:ind w:left="680" w:hanging="340"/>
        <w:tabs>
          <w:tab w:val="num" w:pos="68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(%3)"/>
      <w:lvlJc w:val="left"/>
      <w:pPr>
        <w:ind w:left="1134" w:hanging="454"/>
        <w:tabs>
          <w:tab w:val="num" w:pos="1134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isLgl w:val="false"/>
      <w:suff w:val="tab"/>
      <w:lvlText w:val=""/>
      <w:lvlJc w:val="left"/>
      <w:pPr>
        <w:ind w:left="2517" w:hanging="345"/>
      </w:pPr>
      <w:rPr>
        <w:rFonts w:hint="default" w:ascii="Symbol" w:hAnsi="Symbol"/>
        <w:sz w:val="20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Arial Unicode MS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4"/>
    <w:link w:val="643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42"/>
    <w:next w:val="64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44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42"/>
    <w:next w:val="64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44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42"/>
    <w:next w:val="64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44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42"/>
    <w:next w:val="64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44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42"/>
    <w:next w:val="64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44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42"/>
    <w:next w:val="64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44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42"/>
    <w:next w:val="64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44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42"/>
    <w:next w:val="64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44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4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42"/>
    <w:next w:val="64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44"/>
    <w:link w:val="33"/>
    <w:uiPriority w:val="10"/>
    <w:rPr>
      <w:sz w:val="48"/>
      <w:szCs w:val="48"/>
    </w:rPr>
  </w:style>
  <w:style w:type="paragraph" w:styleId="35">
    <w:name w:val="Subtitle"/>
    <w:basedOn w:val="642"/>
    <w:next w:val="64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44"/>
    <w:link w:val="35"/>
    <w:uiPriority w:val="11"/>
    <w:rPr>
      <w:sz w:val="24"/>
      <w:szCs w:val="24"/>
    </w:rPr>
  </w:style>
  <w:style w:type="paragraph" w:styleId="37">
    <w:name w:val="Quote"/>
    <w:basedOn w:val="642"/>
    <w:next w:val="64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42"/>
    <w:next w:val="64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44"/>
    <w:link w:val="666"/>
    <w:uiPriority w:val="99"/>
  </w:style>
  <w:style w:type="character" w:styleId="44">
    <w:name w:val="Footer Char"/>
    <w:basedOn w:val="644"/>
    <w:link w:val="668"/>
    <w:uiPriority w:val="99"/>
  </w:style>
  <w:style w:type="paragraph" w:styleId="45">
    <w:name w:val="Caption"/>
    <w:basedOn w:val="642"/>
    <w:next w:val="6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68"/>
    <w:uiPriority w:val="99"/>
  </w:style>
  <w:style w:type="table" w:styleId="47">
    <w:name w:val="Table Grid"/>
    <w:basedOn w:val="64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4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44"/>
    <w:uiPriority w:val="99"/>
    <w:unhideWhenUsed/>
    <w:rPr>
      <w:vertAlign w:val="superscript"/>
    </w:rPr>
  </w:style>
  <w:style w:type="paragraph" w:styleId="177">
    <w:name w:val="endnote text"/>
    <w:basedOn w:val="64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44"/>
    <w:uiPriority w:val="99"/>
    <w:semiHidden/>
    <w:unhideWhenUsed/>
    <w:rPr>
      <w:vertAlign w:val="superscript"/>
    </w:rPr>
  </w:style>
  <w:style w:type="paragraph" w:styleId="180">
    <w:name w:val="toc 1"/>
    <w:basedOn w:val="642"/>
    <w:next w:val="64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42"/>
    <w:next w:val="64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42"/>
    <w:next w:val="64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42"/>
    <w:next w:val="64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42"/>
    <w:next w:val="64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42"/>
    <w:next w:val="64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42"/>
    <w:next w:val="64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42"/>
    <w:next w:val="64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42"/>
    <w:next w:val="64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42"/>
    <w:next w:val="642"/>
    <w:uiPriority w:val="99"/>
    <w:unhideWhenUsed/>
    <w:pPr>
      <w:spacing w:after="0" w:afterAutospacing="0"/>
    </w:pPr>
  </w:style>
  <w:style w:type="paragraph" w:styleId="642" w:default="1">
    <w:name w:val="Normal"/>
    <w:pPr>
      <w:spacing w:after="200"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Calibri"/>
      <w:color w:val="000000"/>
      <w:sz w:val="22"/>
      <w:szCs w:val="22"/>
      <w:lang w:val="ru-RU"/>
    </w:rPr>
  </w:style>
  <w:style w:type="paragraph" w:styleId="643">
    <w:name w:val="Heading 1"/>
    <w:basedOn w:val="642"/>
    <w:link w:val="662"/>
    <w:uiPriority w:val="9"/>
    <w:qFormat/>
    <w:pPr>
      <w:spacing w:before="100" w:beforeAutospacing="1" w:after="100" w:afterAutospacing="1" w:line="240" w:lineRule="auto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outlineLvl w:val="0"/>
    </w:pPr>
    <w:rPr>
      <w:rFonts w:ascii="Times New Roman" w:hAnsi="Times New Roman" w:eastAsia="Times New Roman" w:cs="Times New Roman"/>
      <w:b/>
      <w:bCs/>
      <w:color w:val="auto"/>
      <w:sz w:val="48"/>
      <w:szCs w:val="48"/>
      <w:lang w:val="uk-UA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>
    <w:name w:val="Hyperlink"/>
    <w:rPr>
      <w:u w:val="single"/>
    </w:rPr>
  </w:style>
  <w:style w:type="table" w:styleId="648" w:customStyle="1">
    <w:name w:val="Table Normal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49" w:customStyle="1">
    <w:name w:val="Header &amp; Footer"/>
    <w:pPr>
      <w:tabs>
        <w:tab w:val="right" w:pos="9020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Helvetica Neue" w:hAnsi="Helvetica Neue" w:cs="Arial Unicode MS"/>
      <w:color w:val="000000"/>
      <w:sz w:val="24"/>
      <w:szCs w:val="24"/>
    </w:rPr>
  </w:style>
  <w:style w:type="paragraph" w:styleId="650" w:customStyle="1">
    <w:name w:val="ECHR_Para"/>
    <w:link w:val="655"/>
    <w:uiPriority w:val="4"/>
    <w:qFormat/>
    <w:pPr>
      <w:ind w:firstLine="284"/>
      <w:jc w:val="both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/>
      <w:color w:val="000000"/>
      <w:sz w:val="24"/>
      <w:szCs w:val="24"/>
      <w:lang w:val="en-US"/>
    </w:rPr>
  </w:style>
  <w:style w:type="paragraph" w:styleId="651" w:customStyle="1">
    <w:name w:val="Название объекта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</w:pPr>
    <w:rPr>
      <w:rFonts w:ascii="Calibri" w:hAnsi="Calibri" w:eastAsia="Calibri" w:cs="Calibri"/>
      <w:color w:val="000000"/>
      <w:sz w:val="36"/>
      <w:szCs w:val="36"/>
    </w:rPr>
  </w:style>
  <w:style w:type="paragraph" w:styleId="652" w:customStyle="1">
    <w:name w:val="Ju_List"/>
    <w:uiPriority w:val="23"/>
    <w:qFormat/>
    <w:pPr>
      <w:ind w:left="340" w:hanging="340"/>
      <w:jc w:val="both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Calibri"/>
      <w:color w:val="000000"/>
      <w:sz w:val="24"/>
      <w:szCs w:val="24"/>
      <w:lang w:val="en-US"/>
    </w:rPr>
  </w:style>
  <w:style w:type="paragraph" w:styleId="653" w:customStyle="1">
    <w:name w:val="Ju_List_a"/>
    <w:basedOn w:val="642"/>
    <w:uiPriority w:val="23"/>
    <w:pPr>
      <w:ind w:left="680" w:hanging="340"/>
      <w:jc w:val="both"/>
      <w:spacing w:after="0" w:line="240" w:lineRule="auto"/>
      <w:tabs>
        <w:tab w:val="num" w:pos="680" w:leader="none"/>
      </w:tabs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Times New Roman" w:cs="Times New Roman"/>
      <w:color w:val="auto"/>
      <w:sz w:val="24"/>
      <w:lang w:val="en-GB" w:eastAsia="en-US"/>
    </w:rPr>
  </w:style>
  <w:style w:type="paragraph" w:styleId="654" w:customStyle="1">
    <w:name w:val="Ju_List_i"/>
    <w:basedOn w:val="642"/>
    <w:uiPriority w:val="23"/>
    <w:pPr>
      <w:ind w:left="1134" w:hanging="454"/>
      <w:jc w:val="both"/>
      <w:spacing w:after="0" w:line="240" w:lineRule="auto"/>
      <w:tabs>
        <w:tab w:val="num" w:pos="1134" w:leader="none"/>
      </w:tabs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Times New Roman" w:cs="Times New Roman"/>
      <w:color w:val="auto"/>
      <w:sz w:val="24"/>
      <w:lang w:val="en-GB" w:eastAsia="en-US"/>
    </w:rPr>
  </w:style>
  <w:style w:type="character" w:styleId="655" w:customStyle="1">
    <w:name w:val="Ju_Para Char"/>
    <w:link w:val="650"/>
    <w:uiPriority w:val="4"/>
    <w:qFormat/>
    <w:rPr>
      <w:rFonts w:ascii="Calibri" w:hAnsi="Calibri" w:eastAsia="Calibri"/>
      <w:color w:val="000000"/>
      <w:sz w:val="24"/>
      <w:szCs w:val="24"/>
      <w:lang w:val="en-US" w:bidi="ar-SA"/>
    </w:rPr>
  </w:style>
  <w:style w:type="paragraph" w:styleId="656" w:customStyle="1">
    <w:name w:val="p1"/>
    <w:basedOn w:val="642"/>
    <w:pPr>
      <w:spacing w:before="100" w:beforeAutospacing="1" w:after="100" w:afterAutospacing="1" w:line="240" w:lineRule="auto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Helvetica Neue" w:cs="Times New Roman"/>
      <w:color w:val="auto"/>
      <w:sz w:val="24"/>
      <w:szCs w:val="24"/>
      <w:lang w:val="uk-UA"/>
    </w:rPr>
  </w:style>
  <w:style w:type="character" w:styleId="657" w:customStyle="1">
    <w:name w:val="s1"/>
    <w:basedOn w:val="644"/>
  </w:style>
  <w:style w:type="character" w:styleId="658">
    <w:name w:val="Strong"/>
    <w:uiPriority w:val="98"/>
    <w:qFormat/>
    <w:rPr>
      <w:b/>
      <w:bCs/>
    </w:rPr>
  </w:style>
  <w:style w:type="numbering" w:styleId="659" w:customStyle="1">
    <w:name w:val="ECHR_A1_Style_List"/>
    <w:basedOn w:val="646"/>
    <w:uiPriority w:val="99"/>
    <w:pPr>
      <w:numPr>
        <w:numId w:val="1"/>
      </w:numPr>
    </w:pPr>
  </w:style>
  <w:style w:type="paragraph" w:styleId="660">
    <w:name w:val="Balloon Text"/>
    <w:basedOn w:val="642"/>
    <w:link w:val="66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1" w:customStyle="1">
    <w:name w:val="Текст у виносці Знак"/>
    <w:basedOn w:val="644"/>
    <w:link w:val="660"/>
    <w:uiPriority w:val="99"/>
    <w:semiHidden/>
    <w:rPr>
      <w:rFonts w:ascii="Tahoma" w:hAnsi="Tahoma" w:eastAsia="Calibri" w:cs="Tahoma"/>
      <w:color w:val="000000"/>
      <w:sz w:val="16"/>
      <w:szCs w:val="16"/>
      <w:lang w:val="ru-RU"/>
    </w:rPr>
  </w:style>
  <w:style w:type="character" w:styleId="662" w:customStyle="1">
    <w:name w:val="Заголовок 1 Знак"/>
    <w:basedOn w:val="644"/>
    <w:link w:val="643"/>
    <w:uiPriority w:val="9"/>
    <w:rPr>
      <w:rFonts w:eastAsia="Times New Roman"/>
      <w:b/>
      <w:bCs/>
      <w:sz w:val="48"/>
      <w:szCs w:val="48"/>
    </w:rPr>
  </w:style>
  <w:style w:type="numbering" w:styleId="663" w:customStyle="1">
    <w:name w:val="ECHR_A1_Style_List1"/>
    <w:basedOn w:val="646"/>
    <w:uiPriority w:val="99"/>
  </w:style>
  <w:style w:type="character" w:styleId="664" w:customStyle="1">
    <w:name w:val="s6b621b36"/>
    <w:basedOn w:val="644"/>
  </w:style>
  <w:style w:type="character" w:styleId="665" w:customStyle="1">
    <w:name w:val="sb8d990e2"/>
    <w:basedOn w:val="644"/>
  </w:style>
  <w:style w:type="paragraph" w:styleId="666">
    <w:name w:val="Header"/>
    <w:basedOn w:val="642"/>
    <w:link w:val="667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7" w:customStyle="1">
    <w:name w:val="Верхній колонтитул Знак"/>
    <w:basedOn w:val="644"/>
    <w:link w:val="666"/>
    <w:uiPriority w:val="99"/>
    <w:semiHidden/>
    <w:rPr>
      <w:rFonts w:ascii="Calibri" w:hAnsi="Calibri" w:eastAsia="Calibri" w:cs="Calibri"/>
      <w:color w:val="000000"/>
      <w:sz w:val="22"/>
      <w:szCs w:val="22"/>
      <w:lang w:val="ru-RU"/>
    </w:rPr>
  </w:style>
  <w:style w:type="paragraph" w:styleId="668">
    <w:name w:val="Footer"/>
    <w:basedOn w:val="642"/>
    <w:link w:val="669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9" w:customStyle="1">
    <w:name w:val="Нижній колонтитул Знак"/>
    <w:basedOn w:val="644"/>
    <w:link w:val="668"/>
    <w:uiPriority w:val="99"/>
    <w:semiHidden/>
    <w:rPr>
      <w:rFonts w:ascii="Calibri" w:hAnsi="Calibri" w:eastAsia="Calibri" w:cs="Calibri"/>
      <w:color w:val="000000"/>
      <w:sz w:val="22"/>
      <w:szCs w:val="22"/>
      <w:lang w:val="ru-RU"/>
    </w:rPr>
  </w:style>
  <w:style w:type="character" w:styleId="670">
    <w:name w:val="annotation reference"/>
    <w:basedOn w:val="644"/>
    <w:uiPriority w:val="99"/>
    <w:semiHidden/>
    <w:unhideWhenUsed/>
    <w:rPr>
      <w:sz w:val="16"/>
      <w:szCs w:val="16"/>
    </w:rPr>
  </w:style>
  <w:style w:type="paragraph" w:styleId="671">
    <w:name w:val="annotation text"/>
    <w:basedOn w:val="642"/>
    <w:link w:val="672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72" w:customStyle="1">
    <w:name w:val="Текст примітки Знак"/>
    <w:basedOn w:val="644"/>
    <w:link w:val="671"/>
    <w:uiPriority w:val="99"/>
    <w:semiHidden/>
    <w:rPr>
      <w:rFonts w:ascii="Calibri" w:hAnsi="Calibri" w:eastAsia="Calibri" w:cs="Calibri"/>
      <w:color w:val="000000"/>
      <w:lang w:val="ru-RU"/>
    </w:rPr>
  </w:style>
  <w:style w:type="paragraph" w:styleId="673">
    <w:name w:val="annotation subject"/>
    <w:basedOn w:val="671"/>
    <w:next w:val="671"/>
    <w:link w:val="674"/>
    <w:uiPriority w:val="99"/>
    <w:semiHidden/>
    <w:unhideWhenUsed/>
    <w:rPr>
      <w:b/>
      <w:bCs/>
    </w:rPr>
  </w:style>
  <w:style w:type="character" w:styleId="674" w:customStyle="1">
    <w:name w:val="Тема примітки Знак"/>
    <w:basedOn w:val="672"/>
    <w:link w:val="673"/>
    <w:uiPriority w:val="99"/>
    <w:semiHidden/>
    <w:rPr>
      <w:rFonts w:ascii="Calibri" w:hAnsi="Calibri" w:eastAsia="Calibri" w:cs="Calibri"/>
      <w:b/>
      <w:bCs/>
      <w:color w:val="000000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495FB-DE67-4FC8-B2E1-F2F18DFC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>*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Емма Потапова</dc:creator>
  <cp:lastModifiedBy>Борсук Ольга Миколаївна</cp:lastModifiedBy>
  <cp:revision>3</cp:revision>
  <dcterms:created xsi:type="dcterms:W3CDTF">2023-08-17T06:54:00Z</dcterms:created>
  <dcterms:modified xsi:type="dcterms:W3CDTF">2023-08-23T12:58:18Z</dcterms:modified>
</cp:coreProperties>
</file>