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СПРАВА «ШАХМІНА ТА ШАХМІН 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(CASE OF SHAKHMINA AND SHAKHMIN v. UKRAINE)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(заява № 14480/20)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Стислий виклад рішення від 06 липня 2023 року</w:t>
      </w:r>
      <w:r/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 2017 році заявники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постраждали у дорожньо-транспортній пригоді (далі – ДТП). Наступного дня кримінальну справу було відкрито за фактом порушення правил безпеки дорожнього руху, що спричинило тілесні ушкодження середньої тяжкості. Під час досудового розслідування другому заяв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нику не було надано статус потерпілого; не було проведене відтворення обстановки та обставин події; не були допитані ані учасники, ані очевидці ДТП; експертизи були проведені на основі обмеженої кількості доказів. Станом на лютий 2020 розслідування тривало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Цивільний позов заявників про відшкодування шкоди, заподіяної внаслідок ДТП районний суд залишив без задоволення, апеляційний суд залишив це рішення без змін. Верховний Суд скасував рішення судів попередніх інстанцій в частині відмови у задоволенні позов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них вимог одного із заявників та направив справу в цій частині на новий розгляд. На момент ухвалення рішення Європейського суду справа щодо відшкодування збитків перебувала на розгляді </w:t>
      </w:r>
      <w:r>
        <w:rPr>
          <w:rStyle w:val="835"/>
          <w:rFonts w:ascii="Times New Roman" w:hAnsi="Times New Roman" w:cs="Times New Roman"/>
          <w:color w:val="000000"/>
          <w:sz w:val="24"/>
          <w:szCs w:val="24"/>
        </w:rPr>
        <w:t xml:space="preserve">районного суду.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 Європейського суду з прав людини (далі – Європейськи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 суд) заявники скаржились за статтями 2 і 13 Конвенції про захист прав людини і основоположних свобод (далі – Конвенція) на неефективне розслідування дорожньо-транспортної пригоди, яка становила загрозу життю, в якій не брали участі представники держави.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Європейський суд вирішив, що ці скарги мають розглядатися за статтею 2 Конвенції.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Розглянувши скарги заявників, Європейський суд наголосив, що не кожне розслідування обов’язково має бути успішним або дійти висновку, який співпадає з викладом подій скаржник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а, проте воно, у принципі, має бути здатним призвести до встановлення фактів справи, а якщо твердження виявляться правдивими – до встановлення та покарання винних осіб.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Європейський суд зазначив, що у цій справі розслідування характеризувалися різними недо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ліками, які підірвали здатність органів досудового розслідування встановити обставини смерті родичів заявників і відповідальних осіб, якщо такі були.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Посилаючись на свою попередню практику у справах проти України, Європейський суд дійшов висновку, що прове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дені у цих справах розслідування не відповідали критерію ефективності та констатував порушення процесуального аспекту статті 2 Конвенції.</w:t>
      </w:r>
      <w:r/>
    </w:p>
    <w:p>
      <w:pPr>
        <w:ind w:left="284" w:right="1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19"/>
        <w:ind w:left="284" w:right="140"/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ЦИХ ПІДСТАВ СУД ОДНОГОЛОСНО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i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«1.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eastAsia="MS Mincho" w:cs="Times New Roman"/>
          <w:i/>
          <w:szCs w:val="24"/>
          <w:lang w:val="uk-UA"/>
        </w:rPr>
        <w:t xml:space="preserve">Оголошує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заяву прийнятною;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i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2.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що ця заява свідчать про порушення пункту 1 статті 2 Конвенції щодо неефективного розслідування дорожньо-транспортної пригоди, яка становила загрозу життю, в якій не брали участі представники держави;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i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3.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що: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(a)</w:t>
      </w:r>
      <w:r>
        <w:rPr>
          <w:rFonts w:ascii="Times New Roman" w:hAnsi="Times New Roman" w:eastAsia="MS Mincho" w:cs="Times New Roman"/>
          <w:szCs w:val="24"/>
          <w:lang w:val="uk-UA"/>
        </w:rPr>
        <w:tab/>
        <w:t xml:space="preserve">упродовж трьох місяців держава-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відповідач повинна сплатити заявникам суми, зазначені в таблиці у додатку; ці суми мають бути конвертовані в національну валюту держави-відповідача за курсом на день здійснення платежу;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(b)</w:t>
      </w:r>
      <w:r>
        <w:rPr>
          <w:rFonts w:ascii="Times New Roman" w:hAnsi="Times New Roman" w:eastAsia="MS Mincho" w:cs="Times New Roman"/>
          <w:szCs w:val="24"/>
          <w:lang w:val="uk-UA"/>
        </w:rPr>
        <w:tab/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hAnsi="Times New Roman" w:eastAsia="MS Mincho" w:cs="Times New Roman"/>
          <w:i/>
          <w:szCs w:val="24"/>
          <w:lang w:val="uk-UA"/>
        </w:rPr>
        <w:t xml:space="preserve">(simple interest)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має бути додано три відсоткові пункти».</w:t>
      </w:r>
      <w:r/>
    </w:p>
    <w:sectPr>
      <w:footnotePr/>
      <w:endnotePr/>
      <w:type w:val="nextPage"/>
      <w:pgSz w:w="11906" w:h="16838" w:orient="portrait"/>
      <w:pgMar w:top="425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S Mincho">
    <w:panose1 w:val="020206030504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28"/>
    <w:lvl w:ilvl="0">
      <w:start w:val="1"/>
      <w:numFmt w:val="decimal"/>
      <w:pStyle w:val="828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uk-UA" w:eastAsia="uk-UA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60"/>
    <w:uiPriority w:val="10"/>
    <w:rPr>
      <w:sz w:val="48"/>
      <w:szCs w:val="48"/>
    </w:rPr>
  </w:style>
  <w:style w:type="character" w:styleId="36">
    <w:name w:val="Subtitle Char"/>
    <w:basedOn w:val="646"/>
    <w:link w:val="662"/>
    <w:uiPriority w:val="11"/>
    <w:rPr>
      <w:sz w:val="24"/>
      <w:szCs w:val="24"/>
    </w:rPr>
  </w:style>
  <w:style w:type="character" w:styleId="38">
    <w:name w:val="Quote Char"/>
    <w:link w:val="664"/>
    <w:uiPriority w:val="29"/>
    <w:rPr>
      <w:i/>
    </w:rPr>
  </w:style>
  <w:style w:type="character" w:styleId="40">
    <w:name w:val="Intense Quote Char"/>
    <w:link w:val="666"/>
    <w:uiPriority w:val="30"/>
    <w:rPr>
      <w:i/>
    </w:rPr>
  </w:style>
  <w:style w:type="character" w:styleId="42">
    <w:name w:val="Header Char"/>
    <w:basedOn w:val="646"/>
    <w:link w:val="668"/>
    <w:uiPriority w:val="99"/>
  </w:style>
  <w:style w:type="character" w:styleId="46">
    <w:name w:val="Caption Char"/>
    <w:basedOn w:val="672"/>
    <w:link w:val="670"/>
    <w:uiPriority w:val="99"/>
  </w:style>
  <w:style w:type="character" w:styleId="175">
    <w:name w:val="Footnote Text Char"/>
    <w:link w:val="801"/>
    <w:uiPriority w:val="99"/>
    <w:rPr>
      <w:sz w:val="18"/>
    </w:rPr>
  </w:style>
  <w:style w:type="character" w:styleId="178">
    <w:name w:val="Endnote Text Char"/>
    <w:link w:val="804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after="0" w:line="240" w:lineRule="auto"/>
    </w:pPr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/>
    </w:pPr>
    <w:rPr>
      <w:sz w:val="48"/>
      <w:szCs w:val="48"/>
    </w:rPr>
  </w:style>
  <w:style w:type="character" w:styleId="661" w:customStyle="1">
    <w:name w:val="Назва Знак"/>
    <w:basedOn w:val="646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/>
    </w:pPr>
    <w:rPr>
      <w:sz w:val="24"/>
      <w:szCs w:val="24"/>
    </w:rPr>
  </w:style>
  <w:style w:type="character" w:styleId="663" w:customStyle="1">
    <w:name w:val="Підзаголовок Знак"/>
    <w:basedOn w:val="646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Насичена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Верхній колонтитул Знак"/>
    <w:basedOn w:val="646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46"/>
    <w:uiPriority w:val="99"/>
  </w:style>
  <w:style w:type="paragraph" w:styleId="672">
    <w:name w:val="Caption"/>
    <w:basedOn w:val="636"/>
    <w:next w:val="63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3" w:customStyle="1">
    <w:name w:val="Нижній колонтитул Знак"/>
    <w:link w:val="670"/>
    <w:uiPriority w:val="99"/>
  </w:style>
  <w:style w:type="table" w:styleId="674">
    <w:name w:val="Table Grid"/>
    <w:basedOn w:val="6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5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6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4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5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6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7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8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9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9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1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2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1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2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3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4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5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6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5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6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7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8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9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 w:customStyle="1">
    <w:name w:val="Текст виноски Знак"/>
    <w:link w:val="801"/>
    <w:uiPriority w:val="99"/>
    <w:rPr>
      <w:sz w:val="18"/>
    </w:rPr>
  </w:style>
  <w:style w:type="character" w:styleId="803">
    <w:name w:val="footnote reference"/>
    <w:basedOn w:val="646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basedOn w:val="646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  <w:pPr>
      <w:spacing w:after="0"/>
    </w:pPr>
  </w:style>
  <w:style w:type="paragraph" w:styleId="818" w:customStyle="1">
    <w:name w:val="Ju_List"/>
    <w:basedOn w:val="636"/>
    <w:uiPriority w:val="23"/>
    <w:qFormat/>
    <w:pPr>
      <w:ind w:left="340" w:hanging="340"/>
      <w:jc w:val="both"/>
      <w:spacing w:after="0" w:line="240" w:lineRule="auto"/>
    </w:pPr>
    <w:rPr>
      <w:sz w:val="24"/>
      <w:lang w:val="en-US" w:eastAsia="en-US"/>
    </w:rPr>
  </w:style>
  <w:style w:type="paragraph" w:styleId="819" w:customStyle="1">
    <w:name w:val="ECHR_Title_1"/>
    <w:basedOn w:val="636"/>
    <w:next w:val="636"/>
    <w:uiPriority w:val="18"/>
    <w:qFormat/>
    <w:pPr>
      <w:jc w:val="both"/>
      <w:keepLines/>
      <w:keepNext/>
      <w:spacing w:before="720" w:after="240" w:line="240" w:lineRule="auto"/>
      <w:outlineLvl w:val="0"/>
    </w:pPr>
    <w:rPr>
      <w:rFonts w:ascii="Times New Roman" w:hAnsi="Times New Roman" w:eastAsia="MS Mincho" w:cs="Times New Roman"/>
      <w:sz w:val="28"/>
      <w:lang w:val="en-US" w:eastAsia="en-US"/>
    </w:rPr>
  </w:style>
  <w:style w:type="paragraph" w:styleId="820" w:customStyle="1">
    <w:name w:val="Ju_List_a"/>
    <w:basedOn w:val="818"/>
    <w:uiPriority w:val="23"/>
    <w:qFormat/>
    <w:pPr>
      <w:ind w:left="346" w:firstLine="0"/>
    </w:pPr>
  </w:style>
  <w:style w:type="paragraph" w:styleId="821" w:customStyle="1">
    <w:name w:val="ECHR_Para"/>
    <w:basedOn w:val="636"/>
    <w:link w:val="822"/>
    <w:uiPriority w:val="12"/>
    <w:qFormat/>
    <w:pPr>
      <w:ind w:firstLine="284"/>
      <w:jc w:val="both"/>
      <w:spacing w:after="0" w:line="240" w:lineRule="auto"/>
    </w:pPr>
    <w:rPr>
      <w:sz w:val="24"/>
      <w:lang w:val="en-US" w:eastAsia="en-US"/>
    </w:rPr>
  </w:style>
  <w:style w:type="character" w:styleId="822" w:customStyle="1">
    <w:name w:val="ECHR_Para Char"/>
    <w:basedOn w:val="646"/>
    <w:link w:val="821"/>
    <w:uiPriority w:val="12"/>
    <w:rPr>
      <w:rFonts w:eastAsiaTheme="minorEastAsia"/>
      <w:sz w:val="24"/>
      <w:lang w:val="en-US"/>
    </w:rPr>
  </w:style>
  <w:style w:type="paragraph" w:styleId="823" w:customStyle="1">
    <w:name w:val="Ju_Signed"/>
    <w:basedOn w:val="636"/>
    <w:next w:val="824"/>
    <w:uiPriority w:val="32"/>
    <w:qFormat/>
    <w:pPr>
      <w:spacing w:before="720" w:after="0" w:line="240" w:lineRule="auto"/>
      <w:tabs>
        <w:tab w:val="center" w:pos="851" w:leader="none"/>
        <w:tab w:val="center" w:pos="6407" w:leader="none"/>
      </w:tabs>
    </w:pPr>
    <w:rPr>
      <w:sz w:val="24"/>
      <w:lang w:val="en-US" w:eastAsia="en-US"/>
    </w:rPr>
  </w:style>
  <w:style w:type="paragraph" w:styleId="824" w:customStyle="1">
    <w:name w:val="Ju_Para_Last"/>
    <w:basedOn w:val="636"/>
    <w:next w:val="821"/>
    <w:uiPriority w:val="30"/>
    <w:qFormat/>
    <w:pPr>
      <w:ind w:firstLine="284"/>
      <w:jc w:val="both"/>
      <w:keepLines/>
      <w:keepNext/>
      <w:spacing w:before="240" w:after="0" w:line="240" w:lineRule="auto"/>
    </w:pPr>
    <w:rPr>
      <w:sz w:val="24"/>
      <w:lang w:val="en-US" w:eastAsia="en-US"/>
    </w:rPr>
  </w:style>
  <w:style w:type="paragraph" w:styleId="825">
    <w:name w:val="Balloon Text"/>
    <w:basedOn w:val="636"/>
    <w:link w:val="826"/>
    <w:uiPriority w:val="99"/>
    <w:semiHidden/>
    <w:pPr>
      <w:jc w:val="both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styleId="826" w:customStyle="1">
    <w:name w:val="Текст у виносці Знак"/>
    <w:basedOn w:val="646"/>
    <w:link w:val="825"/>
    <w:uiPriority w:val="99"/>
    <w:semiHidden/>
    <w:rPr>
      <w:rFonts w:ascii="Tahoma" w:hAnsi="Tahoma" w:cs="Tahoma" w:eastAsiaTheme="minorEastAsia"/>
      <w:sz w:val="16"/>
      <w:szCs w:val="16"/>
      <w:lang w:val="en-US"/>
    </w:rPr>
  </w:style>
  <w:style w:type="paragraph" w:styleId="827" w:customStyle="1">
    <w:name w:val="Ju_List_i"/>
    <w:basedOn w:val="636"/>
    <w:uiPriority w:val="23"/>
    <w:pPr>
      <w:jc w:val="both"/>
      <w:spacing w:after="0" w:line="240" w:lineRule="auto"/>
      <w:tabs>
        <w:tab w:val="num" w:pos="360" w:leader="none"/>
      </w:tabs>
    </w:pPr>
    <w:rPr>
      <w:sz w:val="24"/>
      <w:lang w:val="en-GB" w:eastAsia="en-US"/>
    </w:rPr>
  </w:style>
  <w:style w:type="numbering" w:styleId="828" w:customStyle="1">
    <w:name w:val="ECHR_A1_Style_List"/>
    <w:basedOn w:val="648"/>
    <w:uiPriority w:val="99"/>
    <w:pPr>
      <w:numPr>
        <w:numId w:val="1"/>
      </w:numPr>
    </w:pPr>
  </w:style>
  <w:style w:type="character" w:styleId="829">
    <w:name w:val="annotation reference"/>
    <w:basedOn w:val="646"/>
    <w:uiPriority w:val="99"/>
    <w:semiHidden/>
    <w:unhideWhenUsed/>
    <w:rPr>
      <w:sz w:val="16"/>
      <w:szCs w:val="16"/>
    </w:rPr>
  </w:style>
  <w:style w:type="paragraph" w:styleId="830">
    <w:name w:val="annotation text"/>
    <w:basedOn w:val="636"/>
    <w:link w:val="83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31" w:customStyle="1">
    <w:name w:val="Текст примітки Знак"/>
    <w:basedOn w:val="646"/>
    <w:link w:val="830"/>
    <w:uiPriority w:val="99"/>
    <w:semiHidden/>
    <w:rPr>
      <w:rFonts w:eastAsiaTheme="minorEastAsia"/>
      <w:sz w:val="20"/>
      <w:szCs w:val="20"/>
      <w:lang w:val="ru-RU" w:eastAsia="ru-RU"/>
    </w:rPr>
  </w:style>
  <w:style w:type="paragraph" w:styleId="832">
    <w:name w:val="annotation subject"/>
    <w:basedOn w:val="830"/>
    <w:next w:val="830"/>
    <w:link w:val="833"/>
    <w:uiPriority w:val="99"/>
    <w:semiHidden/>
    <w:unhideWhenUsed/>
    <w:rPr>
      <w:b/>
      <w:bCs/>
    </w:rPr>
  </w:style>
  <w:style w:type="character" w:styleId="833" w:customStyle="1">
    <w:name w:val="Тема примітки Знак"/>
    <w:basedOn w:val="831"/>
    <w:link w:val="832"/>
    <w:uiPriority w:val="99"/>
    <w:semiHidden/>
    <w:rPr>
      <w:rFonts w:eastAsiaTheme="minorEastAsia"/>
      <w:b/>
      <w:bCs/>
      <w:sz w:val="20"/>
      <w:szCs w:val="20"/>
      <w:lang w:val="ru-RU" w:eastAsia="ru-RU"/>
    </w:rPr>
  </w:style>
  <w:style w:type="paragraph" w:styleId="834" w:customStyle="1">
    <w:name w:val="sb217f55d"/>
    <w:basedOn w:val="6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35" w:customStyle="1">
    <w:name w:val="sbb9ee52a"/>
    <w:basedOn w:val="64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5ED8-FB70-4DB7-80A0-AC085F22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Борсук Ольга Миколаївна</cp:lastModifiedBy>
  <cp:revision>4</cp:revision>
  <dcterms:created xsi:type="dcterms:W3CDTF">2023-08-01T08:33:00Z</dcterms:created>
  <dcterms:modified xsi:type="dcterms:W3CDTF">2023-08-04T12:33:29Z</dcterms:modified>
</cp:coreProperties>
</file>