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04" w:rsidRPr="00580125" w:rsidRDefault="004F4704" w:rsidP="004F4704">
      <w:pPr>
        <w:pStyle w:val="ShapkaDocumentu"/>
        <w:ind w:left="9072"/>
        <w:rPr>
          <w:rFonts w:ascii="Times New Roman" w:hAnsi="Times New Roman"/>
          <w:sz w:val="24"/>
          <w:szCs w:val="24"/>
        </w:rPr>
      </w:pPr>
      <w:r w:rsidRPr="00580125">
        <w:rPr>
          <w:rFonts w:ascii="Times New Roman" w:hAnsi="Times New Roman"/>
          <w:sz w:val="24"/>
          <w:szCs w:val="24"/>
        </w:rPr>
        <w:t>ЗАТВЕРДЖЕНО</w:t>
      </w:r>
      <w:r w:rsidRPr="00580125">
        <w:rPr>
          <w:rFonts w:ascii="Times New Roman" w:hAnsi="Times New Roman"/>
          <w:sz w:val="24"/>
          <w:szCs w:val="24"/>
        </w:rPr>
        <w:br/>
        <w:t xml:space="preserve">розпорядженням Кабінету Міністрів України </w:t>
      </w:r>
      <w:r w:rsidRPr="00580125">
        <w:rPr>
          <w:rFonts w:ascii="Times New Roman" w:hAnsi="Times New Roman"/>
          <w:sz w:val="24"/>
          <w:szCs w:val="24"/>
        </w:rPr>
        <w:br/>
        <w:t>від 20 грудня 2022 р. № 1163-р</w:t>
      </w:r>
    </w:p>
    <w:p w:rsidR="004F4704" w:rsidRPr="00580125" w:rsidRDefault="004F4704" w:rsidP="004F4704">
      <w:pPr>
        <w:pStyle w:val="ae"/>
        <w:rPr>
          <w:rFonts w:ascii="Times New Roman" w:hAnsi="Times New Roman"/>
          <w:sz w:val="28"/>
          <w:szCs w:val="28"/>
          <w:lang w:val="ru-RU"/>
        </w:rPr>
      </w:pPr>
      <w:r w:rsidRPr="00580125">
        <w:rPr>
          <w:rFonts w:ascii="Times New Roman" w:hAnsi="Times New Roman"/>
          <w:sz w:val="28"/>
          <w:szCs w:val="28"/>
        </w:rPr>
        <w:t>ОПЕРАЦІЙНИЙ ПЛАН</w:t>
      </w:r>
      <w:r w:rsidRPr="00580125">
        <w:rPr>
          <w:rFonts w:ascii="Times New Roman" w:hAnsi="Times New Roman"/>
          <w:sz w:val="28"/>
          <w:szCs w:val="28"/>
        </w:rPr>
        <w:br/>
        <w:t>заходів на 2022</w:t>
      </w:r>
      <w:r w:rsidR="00580125">
        <w:rPr>
          <w:rFonts w:ascii="Times New Roman" w:hAnsi="Times New Roman"/>
          <w:sz w:val="28"/>
          <w:szCs w:val="28"/>
        </w:rPr>
        <w:t>-</w:t>
      </w:r>
      <w:r w:rsidRPr="00580125">
        <w:rPr>
          <w:rFonts w:ascii="Times New Roman" w:hAnsi="Times New Roman"/>
          <w:sz w:val="28"/>
          <w:szCs w:val="28"/>
        </w:rPr>
        <w:t xml:space="preserve">2024 роки з реалізації Стратегії впровадження гендерної рівності у сфері освіти до 2030 року </w:t>
      </w:r>
    </w:p>
    <w:tbl>
      <w:tblPr>
        <w:tblW w:w="5150" w:type="pct"/>
        <w:tblLook w:val="04A0" w:firstRow="1" w:lastRow="0" w:firstColumn="1" w:lastColumn="0" w:noHBand="0" w:noVBand="1"/>
      </w:tblPr>
      <w:tblGrid>
        <w:gridCol w:w="3689"/>
        <w:gridCol w:w="4055"/>
        <w:gridCol w:w="1546"/>
        <w:gridCol w:w="2908"/>
        <w:gridCol w:w="2809"/>
      </w:tblGrid>
      <w:tr w:rsidR="004F4704" w:rsidRPr="00580125" w:rsidTr="00006FC3">
        <w:trPr>
          <w:trHeight w:val="20"/>
          <w:tblHeader/>
        </w:trPr>
        <w:tc>
          <w:tcPr>
            <w:tcW w:w="1229" w:type="pct"/>
            <w:tcBorders>
              <w:top w:val="single" w:sz="4" w:space="0" w:color="auto"/>
              <w:left w:val="nil"/>
              <w:bottom w:val="single" w:sz="4" w:space="0" w:color="auto"/>
              <w:right w:val="single" w:sz="4" w:space="0" w:color="auto"/>
            </w:tcBorders>
            <w:vAlign w:val="center"/>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Найменування завдання</w:t>
            </w:r>
          </w:p>
        </w:tc>
        <w:tc>
          <w:tcPr>
            <w:tcW w:w="1351" w:type="pct"/>
            <w:tcBorders>
              <w:top w:val="single" w:sz="4" w:space="0" w:color="auto"/>
              <w:left w:val="single" w:sz="4" w:space="0" w:color="auto"/>
              <w:bottom w:val="single" w:sz="4" w:space="0" w:color="auto"/>
              <w:right w:val="single" w:sz="4" w:space="0" w:color="auto"/>
            </w:tcBorders>
            <w:vAlign w:val="center"/>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Найменування заходу</w:t>
            </w:r>
          </w:p>
        </w:tc>
        <w:tc>
          <w:tcPr>
            <w:tcW w:w="515" w:type="pct"/>
            <w:tcBorders>
              <w:top w:val="single" w:sz="4" w:space="0" w:color="auto"/>
              <w:left w:val="single" w:sz="4" w:space="0" w:color="auto"/>
              <w:bottom w:val="single" w:sz="4" w:space="0" w:color="auto"/>
              <w:right w:val="single" w:sz="4" w:space="0" w:color="auto"/>
            </w:tcBorders>
            <w:vAlign w:val="center"/>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Строк виконання</w:t>
            </w:r>
          </w:p>
        </w:tc>
        <w:tc>
          <w:tcPr>
            <w:tcW w:w="969" w:type="pct"/>
            <w:tcBorders>
              <w:top w:val="single" w:sz="4" w:space="0" w:color="auto"/>
              <w:left w:val="single" w:sz="4" w:space="0" w:color="auto"/>
              <w:bottom w:val="single" w:sz="4" w:space="0" w:color="auto"/>
              <w:right w:val="single" w:sz="4" w:space="0" w:color="auto"/>
            </w:tcBorders>
            <w:vAlign w:val="center"/>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Очікуваний результат</w:t>
            </w:r>
          </w:p>
        </w:tc>
        <w:tc>
          <w:tcPr>
            <w:tcW w:w="936" w:type="pct"/>
            <w:tcBorders>
              <w:top w:val="single" w:sz="4" w:space="0" w:color="auto"/>
              <w:left w:val="single" w:sz="4" w:space="0" w:color="auto"/>
              <w:bottom w:val="single" w:sz="4" w:space="0" w:color="auto"/>
              <w:right w:val="nil"/>
            </w:tcBorders>
            <w:vAlign w:val="center"/>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Відповідальні виконавці</w:t>
            </w:r>
          </w:p>
        </w:tc>
      </w:tr>
      <w:tr w:rsidR="004F4704" w:rsidRPr="00580125" w:rsidTr="00006FC3">
        <w:trPr>
          <w:trHeight w:val="20"/>
        </w:trPr>
        <w:tc>
          <w:tcPr>
            <w:tcW w:w="5000" w:type="pct"/>
            <w:gridSpan w:val="5"/>
            <w:tcBorders>
              <w:top w:val="single" w:sz="4" w:space="0" w:color="auto"/>
              <w:left w:val="nil"/>
              <w:bottom w:val="nil"/>
              <w:right w:val="nil"/>
            </w:tcBorders>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 xml:space="preserve">Стратегічна ціль 1. </w:t>
            </w:r>
            <w:r w:rsidRPr="00580125">
              <w:rPr>
                <w:rFonts w:ascii="Times New Roman" w:hAnsi="Times New Roman"/>
                <w:sz w:val="24"/>
                <w:szCs w:val="24"/>
              </w:rPr>
              <w:t>Комплексне впровадження принципів, політики і заходів щодо забезпечення рівних прав та можливостей жінок і чоловіків, поваги до людської гідності та недискримінації у нормативно-правових документах у сфері освіти як одне з ключових питань фундаментальних прав і пріоритетів у контексті євроінтеграції</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1. Внесення змін до нормативно-правових актів, що регулюють діяльність у сфері дошкільної, повної загальної середньої, позашкільної, професійної (професійно-технічної), фахової передвищої, вищої та післядипломної освіти та діяльність органів управління освітою</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урахування результатів моніторингу під час розроблення нормативно-правових актів, що регулюють діяльність у сфері дошкільної, повної загальної середньої, позашкільної, професійної (професійно-технічної), фахової передвищої, вищої та післядипломної освіти </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lang w:val="en-US"/>
              </w:rPr>
            </w:pPr>
            <w:r w:rsidRPr="00580125">
              <w:rPr>
                <w:rFonts w:ascii="Times New Roman" w:hAnsi="Times New Roman"/>
                <w:kern w:val="2"/>
                <w:sz w:val="24"/>
                <w:szCs w:val="24"/>
              </w:rPr>
              <w:t>2023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забезпечено сприяння нормативно-правових актів формуванню недискримінаційного освітнього середовища у закладах освіти різного рівня, враховано принципи забезпечення рівних прав та можливостей жінок і чоловіків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обласні, Київська міська держадміністрації органи місцевого самоврядування (за згодою)</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2. Проведення гендерно-правової експертизи нормативної бази у сфері дошкільної, повної загальної середньої, позашкільної, професійної (професійно-технічної), фахової передвищої, вищої та післядипломної освіти та органів управління освітою</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проведення гендерно-правової експертизи нормативно-правових актів, що регламентують діяльність у сфері дошкільної, повної загальної середньої, позашкільної, професійної (професійно-технічної), фахової передвищої, вищої та післядипломної освіти та органів управління освітою</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розроблено проекти нормативно-правових актів з урахуванням наданих пропозицій</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Мін’‎юст</w:t>
            </w:r>
            <w:r w:rsidRPr="00580125">
              <w:rPr>
                <w:rFonts w:ascii="Times New Roman" w:hAnsi="Times New Roman"/>
                <w:kern w:val="2"/>
                <w:sz w:val="24"/>
                <w:szCs w:val="24"/>
              </w:rPr>
              <w:br/>
              <w:t>МОН</w:t>
            </w:r>
            <w:r w:rsidRPr="00580125">
              <w:rPr>
                <w:rFonts w:ascii="Times New Roman" w:hAnsi="Times New Roman"/>
                <w:kern w:val="2"/>
                <w:sz w:val="24"/>
                <w:szCs w:val="24"/>
              </w:rPr>
              <w:br/>
              <w:t>обласні, Київська міська держадміністрації органи місцевого самоврядування (за згодою)</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3. Перегляд, оновлення і розроблення стандартів для всіх рівнів освіти, відповідних професійних стандартів шляхом визначення ціннісних орієнтирів, ключових компетентностей, результатів навчання з урахуванням принципу забезпечення рівних прав та можливостей жінок і чоловіків</w:t>
            </w:r>
          </w:p>
        </w:tc>
        <w:tc>
          <w:tcPr>
            <w:tcW w:w="1351" w:type="pct"/>
          </w:tcPr>
          <w:p w:rsidR="004F4704" w:rsidRPr="00580125" w:rsidRDefault="004F4704" w:rsidP="00580125">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забезпечення тематичної та юридичної підтримки комісій з питань розроблення та оновлення стандартів для всіх рівнів освіти, відповідних професійних стандартів шляхом визначення ціннісних орієнтирів, ключових компетентностей, результатів навчання з урахуванням принципу забезпечення рівних прав та можливостей жінок і чоловіків, оновлення стандартів </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враховано у стандартах для всіх рівнів освіти, відповідних професійних стандартах принцип забезпечення рівних прав та можливостей жінок і чоловіків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обласні, Київська міська держадміністрації органи місцевого самоврядування (за згодою)</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r>
          </w:p>
        </w:tc>
      </w:tr>
      <w:tr w:rsidR="004F4704" w:rsidRPr="00580125" w:rsidTr="00006FC3">
        <w:trPr>
          <w:trHeight w:val="20"/>
        </w:trPr>
        <w:tc>
          <w:tcPr>
            <w:tcW w:w="1229" w:type="pct"/>
            <w:hideMark/>
          </w:tcPr>
          <w:p w:rsidR="004F4704" w:rsidRPr="00580125" w:rsidRDefault="004F4704" w:rsidP="00006FC3">
            <w:pPr>
              <w:pStyle w:val="a5"/>
              <w:widowControl w:val="0"/>
              <w:spacing w:line="230" w:lineRule="auto"/>
              <w:ind w:right="-113" w:firstLine="0"/>
              <w:rPr>
                <w:rFonts w:ascii="Times New Roman" w:hAnsi="Times New Roman"/>
                <w:kern w:val="2"/>
                <w:sz w:val="24"/>
                <w:szCs w:val="24"/>
              </w:rPr>
            </w:pPr>
            <w:r w:rsidRPr="00580125">
              <w:rPr>
                <w:rFonts w:ascii="Times New Roman" w:hAnsi="Times New Roman"/>
                <w:kern w:val="2"/>
                <w:sz w:val="24"/>
                <w:szCs w:val="24"/>
              </w:rPr>
              <w:t>4. Проведення  антидискримінаційної експертизи внутрішніх нормативних документів (положень, порядків), які регламентують освітню, організаційну, фінансово-господарську діяльність закладів дошкільної, загальної середньої, позашкільної, професійної (професійно-технічної), фахової передвищої, вищої та післядипломної освіти</w:t>
            </w:r>
          </w:p>
        </w:tc>
        <w:tc>
          <w:tcPr>
            <w:tcW w:w="1351" w:type="pct"/>
            <w:hideMark/>
          </w:tcPr>
          <w:p w:rsidR="004F4704" w:rsidRPr="00580125" w:rsidRDefault="004F4704" w:rsidP="00006FC3">
            <w:pPr>
              <w:pStyle w:val="a5"/>
              <w:widowControl w:val="0"/>
              <w:spacing w:line="230" w:lineRule="auto"/>
              <w:ind w:right="-113" w:firstLine="0"/>
              <w:rPr>
                <w:rFonts w:ascii="Times New Roman" w:hAnsi="Times New Roman"/>
                <w:kern w:val="2"/>
                <w:sz w:val="24"/>
                <w:szCs w:val="24"/>
              </w:rPr>
            </w:pPr>
            <w:r w:rsidRPr="00580125">
              <w:rPr>
                <w:rFonts w:ascii="Times New Roman" w:hAnsi="Times New Roman"/>
                <w:kern w:val="2"/>
                <w:sz w:val="24"/>
                <w:szCs w:val="24"/>
              </w:rPr>
              <w:t>проведення навчання для осіб, які входять до складу комісій з питань проведення антидискримінаційної експертизи, розроблення внутрішніх стратегічних документів з питань розвитку закладів освіти та їх практичної діяльності з урахуванням принципу забезпечення рівних прав та можливостей жінок і чоловіків, розвитку гендерно чутливої та інклюзивної корпоративної культури закладів освіти різного рівня</w:t>
            </w:r>
          </w:p>
        </w:tc>
        <w:tc>
          <w:tcPr>
            <w:tcW w:w="515" w:type="pct"/>
            <w:hideMark/>
          </w:tcPr>
          <w:p w:rsidR="004F4704" w:rsidRPr="00580125" w:rsidRDefault="004F4704" w:rsidP="00006FC3">
            <w:pPr>
              <w:pStyle w:val="a5"/>
              <w:widowControl w:val="0"/>
              <w:spacing w:line="230"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spacing w:line="230" w:lineRule="auto"/>
              <w:ind w:right="-113" w:firstLine="0"/>
              <w:rPr>
                <w:rFonts w:ascii="Times New Roman" w:hAnsi="Times New Roman"/>
                <w:kern w:val="2"/>
                <w:sz w:val="24"/>
                <w:szCs w:val="24"/>
              </w:rPr>
            </w:pPr>
            <w:r w:rsidRPr="00580125">
              <w:rPr>
                <w:rFonts w:ascii="Times New Roman" w:hAnsi="Times New Roman"/>
                <w:kern w:val="2"/>
                <w:sz w:val="24"/>
                <w:szCs w:val="24"/>
              </w:rPr>
              <w:t>включено принцип забезпечення рівних прав та можливостей жінок і чоловіків до переліку пріоритетних напрямів діяльності та розвитку закладів освіти та враховано їх під час розроблення внутрішніх нормативних документів та кодексу корпоративної культури закладів освіти різного рівня</w:t>
            </w:r>
          </w:p>
        </w:tc>
        <w:tc>
          <w:tcPr>
            <w:tcW w:w="936" w:type="pct"/>
            <w:hideMark/>
          </w:tcPr>
          <w:p w:rsidR="004F4704" w:rsidRPr="00580125" w:rsidRDefault="004F4704" w:rsidP="00006FC3">
            <w:pPr>
              <w:pStyle w:val="a5"/>
              <w:widowControl w:val="0"/>
              <w:spacing w:line="230"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spacing w:line="230" w:lineRule="auto"/>
              <w:ind w:right="-113" w:firstLine="0"/>
              <w:rPr>
                <w:rFonts w:ascii="Times New Roman" w:hAnsi="Times New Roman"/>
                <w:kern w:val="2"/>
                <w:sz w:val="24"/>
                <w:szCs w:val="24"/>
              </w:rPr>
            </w:pPr>
            <w:r w:rsidRPr="00580125">
              <w:rPr>
                <w:rFonts w:ascii="Times New Roman" w:hAnsi="Times New Roman"/>
                <w:kern w:val="2"/>
                <w:sz w:val="24"/>
                <w:szCs w:val="24"/>
              </w:rPr>
              <w:t>5. Д</w:t>
            </w:r>
            <w:r w:rsidRPr="00580125">
              <w:rPr>
                <w:rFonts w:ascii="Times New Roman" w:hAnsi="Times New Roman"/>
                <w:sz w:val="24"/>
                <w:szCs w:val="24"/>
              </w:rPr>
              <w:t xml:space="preserve">отримання принципу забезпечення рівних прав та можливостей жінок і чоловіків під час розроблення нормативно-правових актів у сфері освіти (у тому числі тих, що стосуються кодексу корпоративної культури </w:t>
            </w:r>
            <w:r w:rsidRPr="00580125">
              <w:rPr>
                <w:rFonts w:ascii="Times New Roman" w:hAnsi="Times New Roman"/>
                <w:sz w:val="24"/>
                <w:szCs w:val="24"/>
              </w:rPr>
              <w:lastRenderedPageBreak/>
              <w:t>закладів освіти різного рівня), зокрема включення такого принципу до переліку пріоритетних напрямів діяльності закладів освіти</w:t>
            </w:r>
          </w:p>
        </w:tc>
        <w:tc>
          <w:tcPr>
            <w:tcW w:w="1351" w:type="pct"/>
            <w:hideMark/>
          </w:tcPr>
          <w:p w:rsidR="004F4704" w:rsidRPr="00580125" w:rsidRDefault="004F4704" w:rsidP="00006FC3">
            <w:pPr>
              <w:pStyle w:val="a5"/>
              <w:widowControl w:val="0"/>
              <w:spacing w:line="230"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здійснення стратегічного планування за участю менеджерок/менеджерів закладів освіти та представниць/ представників груп та розроблення внутрішніх стратегічних документів з питань розвитку закладів освіти та їх практичної діяльності з урахуванням </w:t>
            </w:r>
            <w:r w:rsidRPr="00580125">
              <w:rPr>
                <w:rFonts w:ascii="Times New Roman" w:hAnsi="Times New Roman"/>
                <w:kern w:val="2"/>
                <w:sz w:val="24"/>
                <w:szCs w:val="24"/>
              </w:rPr>
              <w:lastRenderedPageBreak/>
              <w:t>принципу забезпечення рівних прав та можливостей жінок і чоловіків, розвитку гендерно чутливої та інклюзивної корпоративної культури закладів освіти різного рівня</w:t>
            </w:r>
          </w:p>
        </w:tc>
        <w:tc>
          <w:tcPr>
            <w:tcW w:w="515" w:type="pct"/>
            <w:hideMark/>
          </w:tcPr>
          <w:p w:rsidR="004F4704" w:rsidRPr="00580125" w:rsidRDefault="004F4704" w:rsidP="00006FC3">
            <w:pPr>
              <w:pStyle w:val="a5"/>
              <w:widowControl w:val="0"/>
              <w:spacing w:line="230" w:lineRule="auto"/>
              <w:ind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2022</w:t>
            </w:r>
            <w:r w:rsidR="00580125">
              <w:rPr>
                <w:rFonts w:ascii="Times New Roman" w:hAnsi="Times New Roman"/>
                <w:kern w:val="2"/>
                <w:sz w:val="24"/>
                <w:szCs w:val="24"/>
                <w:lang w:val="en-US"/>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spacing w:line="230"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підвищено рівень обізнаності стейкхолдерів з питань забезпечення рівних прав та можливостей жінок і чоловіків, протидії дискримінації за ознакою </w:t>
            </w:r>
            <w:r w:rsidRPr="00580125">
              <w:rPr>
                <w:rFonts w:ascii="Times New Roman" w:hAnsi="Times New Roman"/>
                <w:kern w:val="2"/>
                <w:sz w:val="24"/>
                <w:szCs w:val="24"/>
              </w:rPr>
              <w:lastRenderedPageBreak/>
              <w:t>статі та множинній дискримінації</w:t>
            </w:r>
          </w:p>
        </w:tc>
        <w:tc>
          <w:tcPr>
            <w:tcW w:w="936" w:type="pct"/>
            <w:hideMark/>
          </w:tcPr>
          <w:p w:rsidR="004F4704" w:rsidRPr="00580125" w:rsidRDefault="00580125" w:rsidP="00006FC3">
            <w:pPr>
              <w:pStyle w:val="a5"/>
              <w:widowControl w:val="0"/>
              <w:spacing w:line="230" w:lineRule="auto"/>
              <w:ind w:right="-113" w:firstLine="0"/>
              <w:jc w:val="center"/>
              <w:rPr>
                <w:rFonts w:ascii="Times New Roman" w:hAnsi="Times New Roman"/>
                <w:kern w:val="2"/>
                <w:sz w:val="24"/>
                <w:szCs w:val="24"/>
              </w:rPr>
            </w:pPr>
            <w:r>
              <w:rPr>
                <w:rFonts w:ascii="Times New Roman" w:hAnsi="Times New Roman"/>
                <w:kern w:val="2"/>
                <w:sz w:val="24"/>
                <w:szCs w:val="24"/>
              </w:rPr>
              <w:lastRenderedPageBreak/>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6. Ведення документообігу з урахуванням принципів недискримінаційних мовлення/мови шляхом впровадження стратегій фемінізації, нейтралізації, уникнення андроцентризму та сексизму</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розроблення практичних рекомендацій та проведення тренінгів для закладів освіти різного рівня з питань недискримінаційних мовлення</w:t>
            </w:r>
            <w:r w:rsidRPr="00580125">
              <w:rPr>
                <w:rFonts w:ascii="Times New Roman" w:hAnsi="Times New Roman"/>
                <w:kern w:val="2"/>
                <w:sz w:val="24"/>
                <w:szCs w:val="24"/>
                <w:lang w:val="ru-RU"/>
              </w:rPr>
              <w:t>/</w:t>
            </w:r>
            <w:r w:rsidRPr="00580125">
              <w:rPr>
                <w:rFonts w:ascii="Times New Roman" w:hAnsi="Times New Roman"/>
                <w:kern w:val="2"/>
                <w:sz w:val="24"/>
                <w:szCs w:val="24"/>
              </w:rPr>
              <w:t>мови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2022</w:t>
            </w:r>
            <w:r w:rsidR="00580125">
              <w:rPr>
                <w:rFonts w:ascii="Times New Roman" w:hAnsi="Times New Roman"/>
                <w:kern w:val="2"/>
                <w:sz w:val="24"/>
                <w:szCs w:val="24"/>
                <w:lang w:val="en-US"/>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забезпечено ведення  документообігу з урахуванням принципів недискримінаційних мовлення/мови </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lang w:val="ru-RU"/>
              </w:rPr>
            </w:pPr>
            <w:r w:rsidRPr="00580125">
              <w:rPr>
                <w:rFonts w:ascii="Times New Roman" w:hAnsi="Times New Roman"/>
                <w:kern w:val="2"/>
                <w:sz w:val="24"/>
                <w:szCs w:val="24"/>
              </w:rPr>
              <w:t>7. Використання в діловодстві допустимих сучасними нормами української мови форм жіночого роду поряд із чоловічими відповідниками для позначення осіб різної статі</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вдосконалення інструкцій з діловодства з урахуванням вимог щодо використання форм жіночого роду поряд із чоловічими відповідниками для позначення осіб різної статі та навчання для спеціалісток/ спеціалістів з питань діловодства </w:t>
            </w:r>
          </w:p>
        </w:tc>
        <w:tc>
          <w:tcPr>
            <w:tcW w:w="515" w:type="pct"/>
            <w:hideMark/>
          </w:tcPr>
          <w:p w:rsidR="004F4704" w:rsidRPr="00580125" w:rsidRDefault="00580125" w:rsidP="00006FC3">
            <w:pPr>
              <w:pStyle w:val="a5"/>
              <w:widowControl w:val="0"/>
              <w:spacing w:line="360"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забезпечено застосування у діловодстві форм жіночого роду поряд із чоловічими відповідниками для позначення осіб різної статі </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8. Проведення на постійній основі гендерного аудиту закладів освіти, розроблення методичних рекомендацій щодо його проведення </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розроблення і затвердження методичних рекомендацій щодо проведення гендерного аудиту закладів освіти, проведення щорічного незалежного гендерного аудиту МОН, запровадження практики </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lang w:val="ru-RU"/>
              </w:rPr>
            </w:pPr>
            <w:r w:rsidRPr="00580125">
              <w:rPr>
                <w:rFonts w:ascii="Times New Roman" w:hAnsi="Times New Roman"/>
                <w:kern w:val="2"/>
                <w:sz w:val="24"/>
                <w:szCs w:val="24"/>
              </w:rPr>
              <w:t xml:space="preserve">підвищено кваліфікацію осіб, залучених до проведення гендерного аудиту МОН, та рівень обізнаності стейкхолдерів і </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tcPr>
          <w:p w:rsidR="004F4704" w:rsidRPr="00580125" w:rsidRDefault="004F4704" w:rsidP="00006FC3">
            <w:pPr>
              <w:pStyle w:val="a5"/>
              <w:widowControl w:val="0"/>
              <w:ind w:right="-113" w:firstLine="0"/>
              <w:rPr>
                <w:rFonts w:ascii="Times New Roman" w:hAnsi="Times New Roman"/>
                <w:kern w:val="2"/>
                <w:sz w:val="24"/>
                <w:szCs w:val="24"/>
              </w:rPr>
            </w:pPr>
          </w:p>
        </w:tc>
        <w:tc>
          <w:tcPr>
            <w:tcW w:w="1351" w:type="pct"/>
          </w:tcPr>
          <w:p w:rsidR="004F4704" w:rsidRPr="00580125" w:rsidRDefault="004F4704" w:rsidP="00006FC3">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проведення гендерного аудиту закладів освіти з оприлюдненням його результатів</w:t>
            </w:r>
          </w:p>
        </w:tc>
        <w:tc>
          <w:tcPr>
            <w:tcW w:w="515" w:type="pct"/>
          </w:tcPr>
          <w:p w:rsidR="004F4704" w:rsidRPr="00580125" w:rsidRDefault="004F4704" w:rsidP="00006FC3">
            <w:pPr>
              <w:pStyle w:val="a5"/>
              <w:widowControl w:val="0"/>
              <w:ind w:right="-113" w:firstLine="0"/>
              <w:jc w:val="center"/>
              <w:rPr>
                <w:rFonts w:ascii="Times New Roman" w:hAnsi="Times New Roman"/>
                <w:kern w:val="2"/>
                <w:sz w:val="24"/>
                <w:szCs w:val="24"/>
              </w:rPr>
            </w:pPr>
          </w:p>
        </w:tc>
        <w:tc>
          <w:tcPr>
            <w:tcW w:w="969" w:type="pct"/>
          </w:tcPr>
          <w:p w:rsidR="004F4704" w:rsidRPr="00580125" w:rsidRDefault="004F4704" w:rsidP="00006FC3">
            <w:pPr>
              <w:pStyle w:val="a5"/>
              <w:widowControl w:val="0"/>
              <w:spacing w:before="0"/>
              <w:ind w:right="-113" w:firstLine="0"/>
              <w:rPr>
                <w:rFonts w:ascii="Times New Roman" w:hAnsi="Times New Roman"/>
                <w:kern w:val="2"/>
                <w:sz w:val="24"/>
                <w:szCs w:val="24"/>
              </w:rPr>
            </w:pPr>
            <w:r w:rsidRPr="00580125">
              <w:rPr>
                <w:rFonts w:ascii="Times New Roman" w:hAnsi="Times New Roman"/>
                <w:kern w:val="2"/>
                <w:sz w:val="24"/>
                <w:szCs w:val="24"/>
              </w:rPr>
              <w:t>громадськості щодо проведення гендерного аудиту закладів освіти</w:t>
            </w:r>
          </w:p>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затверджено рекомендації щодо проведення гендерного аудиту МОН</w:t>
            </w:r>
          </w:p>
        </w:tc>
        <w:tc>
          <w:tcPr>
            <w:tcW w:w="936" w:type="pct"/>
          </w:tcPr>
          <w:p w:rsidR="004F4704" w:rsidRPr="00580125" w:rsidRDefault="004F4704" w:rsidP="00006FC3">
            <w:pPr>
              <w:pStyle w:val="a5"/>
              <w:widowControl w:val="0"/>
              <w:ind w:right="-113" w:firstLine="0"/>
              <w:rPr>
                <w:rFonts w:ascii="Times New Roman" w:hAnsi="Times New Roman"/>
                <w:kern w:val="2"/>
                <w:sz w:val="24"/>
                <w:szCs w:val="24"/>
              </w:rPr>
            </w:pP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9. Забезпечення використання гендерно чутливих, недискримінаційних мовлення</w:t>
            </w:r>
            <w:r w:rsidRPr="00580125">
              <w:rPr>
                <w:rFonts w:ascii="Times New Roman" w:hAnsi="Times New Roman"/>
                <w:kern w:val="2"/>
                <w:sz w:val="24"/>
                <w:szCs w:val="24"/>
                <w:lang w:val="ru-RU"/>
              </w:rPr>
              <w:t>/</w:t>
            </w:r>
            <w:r w:rsidRPr="00580125">
              <w:rPr>
                <w:rFonts w:ascii="Times New Roman" w:hAnsi="Times New Roman"/>
                <w:kern w:val="2"/>
                <w:sz w:val="24"/>
                <w:szCs w:val="24"/>
              </w:rPr>
              <w:t>мови під час ведення документообігу у сфері освіти</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підготовка рекомендацій щодо використання гендерно чутливих, недискримінаційних мовлення/мови під час ведення документообігу у сфері освіти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2022</w:t>
            </w:r>
            <w:r w:rsidR="00580125">
              <w:rPr>
                <w:rFonts w:ascii="Times New Roman" w:hAnsi="Times New Roman"/>
                <w:kern w:val="2"/>
                <w:sz w:val="24"/>
                <w:szCs w:val="24"/>
                <w:lang w:val="en-US"/>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забезпечено ведення  документообігу у сфері освіти з використанням гендерно чутливих, недискримінаційних мовлення/мови</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5000" w:type="pct"/>
            <w:gridSpan w:val="5"/>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 xml:space="preserve">Стратегічна ціль 2. Посилення </w:t>
            </w:r>
            <w:r w:rsidRPr="00580125">
              <w:rPr>
                <w:rFonts w:ascii="Times New Roman" w:hAnsi="Times New Roman"/>
                <w:sz w:val="24"/>
                <w:szCs w:val="24"/>
              </w:rPr>
              <w:t>ролі закладів освіти у координації дій суб’єктів реалізації державної політики щодо забезпечення рівних прав та можливостей жінок і чоловіків у сфері освіти, запобігання та протидії насильству і дискримінації та вдосконалення освітнього процесу на засадах рівності прав та можливостей жінок і чоловіків, поваги до людської гідності, недискримінації, інклюзивності та протидії насильству, зокрема за ознакою статі</w:t>
            </w:r>
          </w:p>
        </w:tc>
      </w:tr>
      <w:tr w:rsidR="004F4704" w:rsidRPr="00580125" w:rsidTr="00006FC3">
        <w:trPr>
          <w:trHeight w:val="1783"/>
        </w:trPr>
        <w:tc>
          <w:tcPr>
            <w:tcW w:w="1229" w:type="pct"/>
            <w:vMerge w:val="restar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10. Розроблення і запровадження гендерно чутливої політики та програми для формування недискримінаційного освітнього середовища у закладах дошкільної, загальної середньої, позашкільної, професійної (професійно-технічної), фахової передвищої, вищої </w:t>
            </w:r>
            <w:r w:rsidRPr="00580125">
              <w:rPr>
                <w:rFonts w:ascii="Times New Roman" w:hAnsi="Times New Roman"/>
                <w:kern w:val="2"/>
                <w:sz w:val="24"/>
                <w:szCs w:val="24"/>
              </w:rPr>
              <w:br/>
              <w:t xml:space="preserve">та післядипломної освіти з урахуванням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w:t>
            </w:r>
            <w:r w:rsidRPr="00580125">
              <w:rPr>
                <w:rFonts w:ascii="Times New Roman" w:hAnsi="Times New Roman"/>
                <w:kern w:val="2"/>
                <w:sz w:val="24"/>
                <w:szCs w:val="24"/>
              </w:rPr>
              <w:br/>
              <w:t xml:space="preserve">14 грудня 2016 р. № 988 (Офіційний вісник України, 2017 </w:t>
            </w:r>
            <w:r w:rsidRPr="00580125">
              <w:rPr>
                <w:rFonts w:ascii="Times New Roman" w:hAnsi="Times New Roman"/>
                <w:kern w:val="2"/>
                <w:sz w:val="24"/>
                <w:szCs w:val="24"/>
              </w:rPr>
              <w:lastRenderedPageBreak/>
              <w:t>р., № 1, ст. 22), створення безбар’єрного, інклюзивного середовища, дружнього до сімей з дітьми та маломобільних груп населення</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1) проведення аналізу наявних гендерно</w:t>
            </w:r>
            <w:r w:rsidRPr="00580125">
              <w:rPr>
                <w:rFonts w:ascii="Times New Roman" w:hAnsi="Times New Roman"/>
                <w:kern w:val="2"/>
                <w:sz w:val="24"/>
                <w:szCs w:val="24"/>
                <w:lang w:val="ru-RU"/>
              </w:rPr>
              <w:t xml:space="preserve"> </w:t>
            </w:r>
            <w:r w:rsidRPr="00580125">
              <w:rPr>
                <w:rFonts w:ascii="Times New Roman" w:hAnsi="Times New Roman"/>
                <w:kern w:val="2"/>
                <w:sz w:val="24"/>
                <w:szCs w:val="24"/>
              </w:rPr>
              <w:t>чутливих політик у вітчизняних та зарубіжних закладах освіти, громадських організаціях</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lang w:val="en-US"/>
              </w:rPr>
              <w:t>-</w:t>
            </w:r>
            <w:r w:rsidRPr="00580125">
              <w:rPr>
                <w:rFonts w:ascii="Times New Roman" w:hAnsi="Times New Roman"/>
                <w:kern w:val="2"/>
                <w:sz w:val="24"/>
                <w:szCs w:val="24"/>
              </w:rPr>
              <w:t>2024 роки</w:t>
            </w:r>
          </w:p>
        </w:tc>
        <w:tc>
          <w:tcPr>
            <w:tcW w:w="969" w:type="pct"/>
            <w:vMerge w:val="restar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сформовано освітнє середовище у закладах дошкільної, загальної середньої, позашкільної, професійної (професійно-технічної), фахової передвищої, вищої та післядипломної освіти з урахуванням вимог до нової української школи, безбар’єрного, інклюзивного середовища, дружнього до сімей з дітьми та маломобільних груп населення</w:t>
            </w:r>
          </w:p>
        </w:tc>
        <w:tc>
          <w:tcPr>
            <w:tcW w:w="936" w:type="pct"/>
            <w:vMerge w:val="restar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r>
          </w:p>
        </w:tc>
      </w:tr>
      <w:tr w:rsidR="004F4704" w:rsidRPr="00580125" w:rsidTr="00006FC3">
        <w:trPr>
          <w:trHeight w:val="1113"/>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2) розроблення типових гендерно чутливих політик для закладів освіти</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0" w:type="auto"/>
            <w:vMerge/>
            <w:vAlign w:val="center"/>
            <w:hideMark/>
          </w:tcPr>
          <w:p w:rsidR="004F4704" w:rsidRPr="00580125" w:rsidRDefault="004F4704" w:rsidP="00006FC3">
            <w:pPr>
              <w:rPr>
                <w:rFonts w:ascii="Times New Roman" w:hAnsi="Times New Roman"/>
                <w:kern w:val="2"/>
                <w:sz w:val="24"/>
                <w:szCs w:val="24"/>
              </w:rPr>
            </w:pPr>
          </w:p>
        </w:tc>
        <w:tc>
          <w:tcPr>
            <w:tcW w:w="0" w:type="auto"/>
            <w:vMerge/>
            <w:vAlign w:val="center"/>
            <w:hideMark/>
          </w:tcPr>
          <w:p w:rsidR="004F4704" w:rsidRPr="00580125" w:rsidRDefault="004F4704" w:rsidP="00006FC3">
            <w:pPr>
              <w:rPr>
                <w:rFonts w:ascii="Times New Roman" w:hAnsi="Times New Roman"/>
                <w:kern w:val="2"/>
                <w:sz w:val="24"/>
                <w:szCs w:val="24"/>
              </w:rPr>
            </w:pPr>
          </w:p>
        </w:tc>
      </w:tr>
      <w:tr w:rsidR="004F4704" w:rsidRPr="00580125" w:rsidTr="00006FC3">
        <w:trPr>
          <w:trHeight w:val="2190"/>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3) проведення для закладів освіти інформаційно-роз’яснювальної кампанії щодо прийняття та впровадження гендерно чутливих політик та програм, а також науково-практичних конференцій та інших заходів з обміну та поширення досвіду</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0" w:type="auto"/>
            <w:vMerge/>
            <w:vAlign w:val="center"/>
            <w:hideMark/>
          </w:tcPr>
          <w:p w:rsidR="004F4704" w:rsidRPr="00580125" w:rsidRDefault="004F4704" w:rsidP="00006FC3">
            <w:pPr>
              <w:rPr>
                <w:rFonts w:ascii="Times New Roman" w:hAnsi="Times New Roman"/>
                <w:kern w:val="2"/>
                <w:sz w:val="24"/>
                <w:szCs w:val="24"/>
              </w:rPr>
            </w:pPr>
          </w:p>
        </w:tc>
        <w:tc>
          <w:tcPr>
            <w:tcW w:w="0" w:type="auto"/>
            <w:vMerge/>
            <w:vAlign w:val="center"/>
            <w:hideMark/>
          </w:tcPr>
          <w:p w:rsidR="004F4704" w:rsidRPr="00580125" w:rsidRDefault="004F4704" w:rsidP="00006FC3">
            <w:pPr>
              <w:rPr>
                <w:rFonts w:ascii="Times New Roman" w:hAnsi="Times New Roman"/>
                <w:kern w:val="2"/>
                <w:sz w:val="24"/>
                <w:szCs w:val="24"/>
              </w:rPr>
            </w:pP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11. Використання інноваційних педагогічних технологій, форм та методів навчання/виховання, що сприяють створенню та підтримці у навчанні/ вихованні атмосфери взаємоповаги, взаємодії, колегіальності та інклюзивності, унеможливлюють дискримінаційне (несправедливе, упереджене) ставлення один до одного всіх суб’єктів освітнього процесу</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проведення заходів з обміну та поширення досвіду щодо гендерно чутливих політик та програм для формування недискримінаційного освітнього середовища, інноваційних педагогічних технологій, форм та методів, що сприяють створенню та підтримці у навчанні/вихованні атмосфери взаємоповаги, взаємодії, колегіальності та інклюзивності, унеможливлюють дискримінаційне (несправедливе, упереджене) ставлення один до одного всіх суб’єктів освітнього процесу </w:t>
            </w:r>
          </w:p>
        </w:tc>
        <w:tc>
          <w:tcPr>
            <w:tcW w:w="515" w:type="pct"/>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lang w:val="en-US"/>
              </w:rPr>
            </w:pPr>
            <w:r>
              <w:rPr>
                <w:rFonts w:ascii="Times New Roman" w:hAnsi="Times New Roman"/>
                <w:kern w:val="2"/>
                <w:sz w:val="24"/>
                <w:szCs w:val="24"/>
                <w:lang w:val="en-US"/>
              </w:rPr>
              <w:t>-</w:t>
            </w:r>
            <w:r w:rsidR="004F4704" w:rsidRPr="00580125">
              <w:rPr>
                <w:rFonts w:ascii="Times New Roman" w:hAnsi="Times New Roman"/>
                <w:kern w:val="2"/>
                <w:sz w:val="24"/>
                <w:szCs w:val="24"/>
                <w:lang w:val="en-US"/>
              </w:rPr>
              <w:t>“</w:t>
            </w:r>
            <w:r>
              <w:rPr>
                <w:rFonts w:ascii="Times New Roman" w:hAnsi="Times New Roman"/>
                <w:kern w:val="2"/>
                <w:sz w:val="24"/>
                <w:szCs w:val="24"/>
                <w:lang w:val="en-US"/>
              </w:rPr>
              <w:t>-</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працівниць/працівників</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1742"/>
        </w:trPr>
        <w:tc>
          <w:tcPr>
            <w:tcW w:w="1229" w:type="pct"/>
            <w:vMerge w:val="restar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12. Формування та розвиток в учнівства та студентства уявлення про рівні права та можливості жінок і чоловіків, неповторну індивідуальність кожної особи</w:t>
            </w:r>
          </w:p>
        </w:tc>
        <w:tc>
          <w:tcPr>
            <w:tcW w:w="1351" w:type="pct"/>
            <w:vMerge w:val="restar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1) проведення науково-практичних конференцій та інших заходів щодо аналізу освітніх програм, обміну та поширення досвіду</w:t>
            </w:r>
          </w:p>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2) запровадження гендерного контенту до усіх навчальних дисциплін</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vMerge w:val="restar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забезпечено у навчальних дисциплінах логічно інтегрованого, відповідного змісту та доречного контенту про забезпечення рівних прав та можливостей жінок і чоловіків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lang w:val="ru-RU"/>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1077"/>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0" w:type="auto"/>
            <w:vMerge/>
            <w:vAlign w:val="center"/>
            <w:hideMark/>
          </w:tcPr>
          <w:p w:rsidR="004F4704" w:rsidRPr="00580125" w:rsidRDefault="004F4704" w:rsidP="00006FC3">
            <w:pPr>
              <w:rPr>
                <w:rFonts w:ascii="Times New Roman" w:hAnsi="Times New Roman"/>
                <w:kern w:val="2"/>
                <w:sz w:val="24"/>
                <w:szCs w:val="24"/>
              </w:rPr>
            </w:pPr>
          </w:p>
        </w:tc>
        <w:tc>
          <w:tcPr>
            <w:tcW w:w="515" w:type="pct"/>
            <w:hideMark/>
          </w:tcPr>
          <w:p w:rsidR="004F4704" w:rsidRPr="00580125" w:rsidRDefault="00580125" w:rsidP="00006FC3">
            <w:pPr>
              <w:pStyle w:val="a5"/>
              <w:widowControl w:val="0"/>
              <w:spacing w:line="360"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0" w:type="auto"/>
            <w:vMerge/>
            <w:vAlign w:val="center"/>
            <w:hideMark/>
          </w:tcPr>
          <w:p w:rsidR="004F4704" w:rsidRPr="00580125" w:rsidRDefault="004F4704" w:rsidP="00006FC3">
            <w:pPr>
              <w:rPr>
                <w:rFonts w:ascii="Times New Roman" w:hAnsi="Times New Roman"/>
                <w:kern w:val="2"/>
                <w:sz w:val="24"/>
                <w:szCs w:val="24"/>
              </w:rPr>
            </w:pPr>
          </w:p>
        </w:tc>
        <w:tc>
          <w:tcPr>
            <w:tcW w:w="0" w:type="auto"/>
            <w:hideMark/>
          </w:tcPr>
          <w:p w:rsidR="004F4704" w:rsidRPr="00580125" w:rsidRDefault="00580125" w:rsidP="00006FC3">
            <w:pPr>
              <w:pStyle w:val="a5"/>
              <w:widowControl w:val="0"/>
              <w:spacing w:line="360"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13. Виховання з урахуванням принципу забезпечення рівних прав та можливостей жінок і чоловіків як пріоритетного завдання з виховної роботи закладів дошкільної, загальної середньої, позашкільної, спеціалізованої, професійної (професійно-технічної), фахової передвищої, вищої та післядипломної освіти</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проведення аналізу документів (програм, планів, рекомендацій тощо), узагальнення результатів аналізу та розроблення рекомендацій за рівнями освіти щодо забезпечення рівних прав та можливостей жінок і </w:t>
            </w:r>
            <w:r w:rsidRPr="00580125">
              <w:rPr>
                <w:rFonts w:ascii="Times New Roman" w:hAnsi="Times New Roman"/>
                <w:kern w:val="2"/>
                <w:sz w:val="24"/>
                <w:szCs w:val="24"/>
              </w:rPr>
              <w:br/>
              <w:t>чоловіків</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забезпечено здійснення виховного процесу як частини цілісного педагогічного процесу у закладах освіти з урахуванням принципу забезпечення рівних прав та можливостей жінок і чоловіків</w:t>
            </w:r>
          </w:p>
        </w:tc>
        <w:tc>
          <w:tcPr>
            <w:tcW w:w="936" w:type="pct"/>
            <w:hideMark/>
          </w:tcPr>
          <w:p w:rsidR="004F4704" w:rsidRPr="00580125" w:rsidRDefault="00580125" w:rsidP="00006FC3">
            <w:pPr>
              <w:pStyle w:val="a5"/>
              <w:widowControl w:val="0"/>
              <w:spacing w:line="360"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14. Розроблення та впровадження програм підготовки фахівчинь і фахівців у сфері забезпечення рівних прав та можливостей жінок і чоловіків</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розроблення програм підготовки фахівчинь і фахівців у сфері забезпечення рівних прав та можливостей жінок і чоловіків на основі аналізу та узагальнення наявних програм з відповідної тематики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lang w:val="ru-RU"/>
              </w:rPr>
            </w:pPr>
            <w:r w:rsidRPr="00580125">
              <w:rPr>
                <w:rFonts w:ascii="Times New Roman" w:hAnsi="Times New Roman"/>
                <w:kern w:val="2"/>
                <w:sz w:val="24"/>
                <w:szCs w:val="24"/>
              </w:rPr>
              <w:t>створено умови для підвищення кваліфікації та сертифікації за відповідними сертифікаційними програмами</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lang w:val="ru-RU"/>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1650"/>
        </w:trPr>
        <w:tc>
          <w:tcPr>
            <w:tcW w:w="1229" w:type="pct"/>
            <w:vMerge w:val="restar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15. Упровадження сертифікаційних тренінгових програм та програм підвищення кваліфікації педагогічних працівниць/ працівників та перепідготовки кадрів з питань забезпечення рівних прав та можливостей жінок і чоловіків</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1) розроблення типової програми підвищення кваліфікації з питань забезпечення рівних прав та можливостей жінок і чоловіків</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 рік</w:t>
            </w:r>
          </w:p>
        </w:tc>
        <w:tc>
          <w:tcPr>
            <w:tcW w:w="969" w:type="pct"/>
            <w:vMerge w:val="restart"/>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створено умови для підвищення кваліфікації та сертифікації за відповідними сертифікаційними програмами</w:t>
            </w:r>
          </w:p>
          <w:p w:rsidR="004F4704" w:rsidRPr="00580125" w:rsidRDefault="004F4704" w:rsidP="00006FC3">
            <w:pPr>
              <w:pStyle w:val="a5"/>
              <w:widowControl w:val="0"/>
              <w:ind w:right="-113" w:firstLine="0"/>
              <w:rPr>
                <w:rFonts w:ascii="Times New Roman" w:hAnsi="Times New Roman"/>
                <w:kern w:val="2"/>
                <w:sz w:val="24"/>
                <w:szCs w:val="24"/>
                <w:lang w:val="ru-RU"/>
              </w:rPr>
            </w:pPr>
            <w:r w:rsidRPr="00580125">
              <w:rPr>
                <w:rFonts w:ascii="Times New Roman" w:hAnsi="Times New Roman"/>
                <w:kern w:val="2"/>
                <w:sz w:val="24"/>
                <w:szCs w:val="24"/>
              </w:rPr>
              <w:t>затверджено тренінгові та сертифікаційні програми</w:t>
            </w:r>
          </w:p>
        </w:tc>
        <w:tc>
          <w:tcPr>
            <w:tcW w:w="936" w:type="pct"/>
            <w:vMerge w:val="restart"/>
            <w:hideMark/>
          </w:tcPr>
          <w:p w:rsidR="004F4704" w:rsidRPr="00580125" w:rsidRDefault="00580125" w:rsidP="00006FC3">
            <w:pPr>
              <w:pStyle w:val="a5"/>
              <w:widowControl w:val="0"/>
              <w:spacing w:line="360"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1649"/>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2) розроблення тренінгових та сертифікаційних програм та програм підвищення кваліфікації педагогічних працівниць/ працівників </w:t>
            </w:r>
          </w:p>
        </w:tc>
        <w:tc>
          <w:tcPr>
            <w:tcW w:w="515" w:type="pct"/>
            <w:hideMark/>
          </w:tcPr>
          <w:p w:rsidR="004F4704" w:rsidRPr="00580125" w:rsidRDefault="00580125" w:rsidP="00006FC3">
            <w:pPr>
              <w:pStyle w:val="a5"/>
              <w:widowControl w:val="0"/>
              <w:spacing w:line="360"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0" w:type="auto"/>
            <w:vMerge/>
            <w:vAlign w:val="center"/>
            <w:hideMark/>
          </w:tcPr>
          <w:p w:rsidR="004F4704" w:rsidRPr="00580125" w:rsidRDefault="004F4704" w:rsidP="00006FC3">
            <w:pPr>
              <w:rPr>
                <w:rFonts w:ascii="Times New Roman" w:hAnsi="Times New Roman"/>
                <w:kern w:val="2"/>
                <w:sz w:val="24"/>
                <w:szCs w:val="24"/>
              </w:rPr>
            </w:pPr>
          </w:p>
        </w:tc>
        <w:tc>
          <w:tcPr>
            <w:tcW w:w="0" w:type="auto"/>
            <w:vMerge/>
            <w:vAlign w:val="center"/>
            <w:hideMark/>
          </w:tcPr>
          <w:p w:rsidR="004F4704" w:rsidRPr="00580125" w:rsidRDefault="004F4704" w:rsidP="00006FC3">
            <w:pPr>
              <w:rPr>
                <w:rFonts w:ascii="Times New Roman" w:hAnsi="Times New Roman"/>
                <w:kern w:val="2"/>
                <w:sz w:val="24"/>
                <w:szCs w:val="24"/>
              </w:rPr>
            </w:pP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lang w:val="ru-RU"/>
              </w:rPr>
            </w:pPr>
            <w:r w:rsidRPr="00580125">
              <w:rPr>
                <w:rFonts w:ascii="Times New Roman" w:hAnsi="Times New Roman"/>
                <w:kern w:val="2"/>
                <w:sz w:val="24"/>
                <w:szCs w:val="24"/>
              </w:rPr>
              <w:t xml:space="preserve">16. Запровадження гендерної </w:t>
            </w:r>
            <w:r w:rsidRPr="00580125">
              <w:rPr>
                <w:rFonts w:ascii="Times New Roman" w:hAnsi="Times New Roman"/>
                <w:kern w:val="2"/>
                <w:sz w:val="24"/>
                <w:szCs w:val="24"/>
              </w:rPr>
              <w:lastRenderedPageBreak/>
              <w:t>складової у стандарти вищої освіти за всіма спеціальностями</w:t>
            </w:r>
          </w:p>
          <w:p w:rsidR="004F4704" w:rsidRPr="00580125" w:rsidRDefault="004F4704" w:rsidP="00006FC3">
            <w:pPr>
              <w:pStyle w:val="a5"/>
              <w:widowControl w:val="0"/>
              <w:spacing w:line="228" w:lineRule="auto"/>
              <w:ind w:right="-113" w:firstLine="0"/>
              <w:rPr>
                <w:rFonts w:ascii="Times New Roman" w:hAnsi="Times New Roman"/>
                <w:kern w:val="2"/>
                <w:sz w:val="24"/>
                <w:szCs w:val="24"/>
                <w:lang w:val="ru-RU"/>
              </w:rPr>
            </w:pPr>
          </w:p>
          <w:p w:rsidR="004F4704" w:rsidRPr="00580125" w:rsidRDefault="004F4704" w:rsidP="00006FC3">
            <w:pPr>
              <w:pStyle w:val="a5"/>
              <w:widowControl w:val="0"/>
              <w:spacing w:line="228" w:lineRule="auto"/>
              <w:ind w:right="-113" w:firstLine="0"/>
              <w:rPr>
                <w:rFonts w:ascii="Times New Roman" w:hAnsi="Times New Roman"/>
                <w:kern w:val="2"/>
                <w:sz w:val="24"/>
                <w:szCs w:val="24"/>
                <w:lang w:val="ru-RU"/>
              </w:rPr>
            </w:pP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lang w:val="ru-RU"/>
              </w:rPr>
            </w:pPr>
            <w:r w:rsidRPr="00580125">
              <w:rPr>
                <w:rFonts w:ascii="Times New Roman" w:hAnsi="Times New Roman"/>
                <w:kern w:val="2"/>
                <w:sz w:val="24"/>
                <w:szCs w:val="24"/>
              </w:rPr>
              <w:lastRenderedPageBreak/>
              <w:t xml:space="preserve">підготовка наказу МОН про внесення </w:t>
            </w:r>
            <w:r w:rsidRPr="00580125">
              <w:rPr>
                <w:rFonts w:ascii="Times New Roman" w:hAnsi="Times New Roman"/>
                <w:kern w:val="2"/>
                <w:sz w:val="24"/>
                <w:szCs w:val="24"/>
              </w:rPr>
              <w:lastRenderedPageBreak/>
              <w:t>змін до деяких стандартів вищої освіти</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2024 рік</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видано наказ МОН </w:t>
            </w:r>
          </w:p>
        </w:tc>
        <w:tc>
          <w:tcPr>
            <w:tcW w:w="936" w:type="pct"/>
          </w:tcPr>
          <w:p w:rsidR="004F4704" w:rsidRPr="00580125" w:rsidRDefault="00580125" w:rsidP="00006FC3">
            <w:pPr>
              <w:pStyle w:val="a5"/>
              <w:widowControl w:val="0"/>
              <w:spacing w:line="360"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17. Сприяння у закладах дошкільної освіти заохоченню хлопців і дівчат до спільної господарсько-побутової праці, спільних занять/ігор, спільного користування ігровим/навчальним інвентарем</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проведення аналізу освітніх програм, обміну та поширення досвіду щодо заохочення хлопців і дівчат до спільної господарсько-побутової праці, спільних занять/ігор, спільного користування ігровим/навчальним інвентарем</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підвищено кваліфікацію/ поінформованість педагогічних (науково-педагогічних) працівниць/ працівників </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580125">
            <w:pPr>
              <w:pStyle w:val="a5"/>
              <w:widowControl w:val="0"/>
              <w:spacing w:line="228" w:lineRule="auto"/>
              <w:ind w:right="-113" w:firstLine="0"/>
              <w:rPr>
                <w:rFonts w:ascii="Times New Roman" w:hAnsi="Times New Roman"/>
                <w:sz w:val="24"/>
                <w:szCs w:val="24"/>
              </w:rPr>
            </w:pPr>
            <w:r w:rsidRPr="00580125">
              <w:rPr>
                <w:rFonts w:ascii="Times New Roman" w:hAnsi="Times New Roman"/>
                <w:kern w:val="2"/>
                <w:sz w:val="24"/>
                <w:szCs w:val="24"/>
              </w:rPr>
              <w:t xml:space="preserve">18. Залучення (заохочення) у закладах загальної середньої та професійної (професійно-технічної освіти) здобувачок і здобувачів освіти до організації та проведення спільних виховних заходів будь-якого рівня, що дасть змогу забезпечити рівні права та можливості жінок і чоловіків </w:t>
            </w:r>
            <w:r w:rsidRPr="00580125">
              <w:rPr>
                <w:rFonts w:ascii="Times New Roman" w:hAnsi="Times New Roman"/>
                <w:sz w:val="24"/>
                <w:szCs w:val="24"/>
              </w:rPr>
              <w:t>шляхом зміни стереотипних ролей за ознакою статі</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проведення науково-практичних конференцій та інших заходів з обміну та поширення досвіду щодо забезпечення рівних прав та можливостей жінок і чоловіків </w:t>
            </w:r>
          </w:p>
        </w:tc>
        <w:tc>
          <w:tcPr>
            <w:tcW w:w="515"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36"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19. Систематичне проведення у закладах загальної середньої, професійної (професійно-технічної), фахової передвищої, вищої та післядипломної освіти різноманітних заходів, що спрямовані на висвітлення питань забезпечення рівних прав та можливостей жінок і чоловіків, </w:t>
            </w:r>
            <w:r w:rsidRPr="00580125">
              <w:rPr>
                <w:rFonts w:ascii="Times New Roman" w:hAnsi="Times New Roman"/>
                <w:kern w:val="2"/>
                <w:sz w:val="24"/>
                <w:szCs w:val="24"/>
              </w:rPr>
              <w:lastRenderedPageBreak/>
              <w:t>зокрема щодо рівності жінок і чоловіків та партнерства у сім’ї та суспільстві, безпеки та згоди у стосунках, нав’язування інформаційними джерелами стереотипів за ознакою статі або інших стереотипів, що принижують гідність жінок і чоловіків</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проведення науково-практичних конференцій та інших заходів з обміну та поширення досвіду щодо забезпечення рівних прав та можливостей жінок і чоловіків, недискримінації за ознакою статі та інклюзивності, зокрема щодо рівності жінок і чоловіків та партнерства у сім’ї та суспільстві, безпеки та згоди у </w:t>
            </w:r>
            <w:r w:rsidRPr="00580125">
              <w:rPr>
                <w:rFonts w:ascii="Times New Roman" w:hAnsi="Times New Roman"/>
                <w:kern w:val="2"/>
                <w:sz w:val="24"/>
                <w:szCs w:val="24"/>
              </w:rPr>
              <w:lastRenderedPageBreak/>
              <w:t>стосунках, нав’язування інформаційними джерелами стереотипів за ознакою статі або інших стереотипів, що принижують гідність жінок і чоловіків</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20. Здійснення у закладах позашкільної освіти заходів щодо забезпечення рівних прав та можливостей жінок і чоловіків, формування у дітей, юнацтва і молоді особистісної і колективної культури щодо забезпечення рівних прав та можливостей жінок і чоловіків</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проведення науково-практичних конференцій та інших заходів з обміну та поширення досвіду щодо забезпечення рівних прав та можливостей жінок і чоловіків, виховання дітей, юнацтва і молоді для формування особистісної і колективної культури забезпечення рівних прав та можливостей жінок і чоловіків</w:t>
            </w:r>
          </w:p>
        </w:tc>
        <w:tc>
          <w:tcPr>
            <w:tcW w:w="515"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36"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21. Реалізація у закладах освіти спільних просвітницьких соціально-розвивальних проектних ініціатив, спрямованих на подолання стереотипів та дискримінації за ознакою статі</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проведення інформаційно-роз’яснювальної кампанії щодо можливостей реалізації спільних з міжнародними та вітчизняними інституціями просвітницьких соціально-розвивальних проектних ініціатив, спрямованих на подолання стереотипів та дискримінації за ознакою статі</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22. Усунення у закладах освіти упередженості за ознакою статі щодо здобувачок і здобувачів </w:t>
            </w:r>
            <w:r w:rsidRPr="00580125">
              <w:rPr>
                <w:rFonts w:ascii="Times New Roman" w:hAnsi="Times New Roman"/>
                <w:kern w:val="2"/>
                <w:sz w:val="24"/>
                <w:szCs w:val="24"/>
              </w:rPr>
              <w:lastRenderedPageBreak/>
              <w:t>освіти (їх нахилів, здібностей та задатків; уподобань та можливостей у навчанні, рівня навчальних досягнень)</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розроблення модуля для проведення аудиту закладів освіти щодо врахування принципу забезпечення </w:t>
            </w:r>
            <w:r w:rsidRPr="00580125">
              <w:rPr>
                <w:rFonts w:ascii="Times New Roman" w:hAnsi="Times New Roman"/>
                <w:kern w:val="2"/>
                <w:sz w:val="24"/>
                <w:szCs w:val="24"/>
              </w:rPr>
              <w:lastRenderedPageBreak/>
              <w:t xml:space="preserve">рівних прав та можливостей жінок і чоловіків та проведення інформаційно-роз’яснювальної кампанії </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2024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забезпечено рівне ставлення до здобувачок і здобувачів освіти в </w:t>
            </w:r>
            <w:r w:rsidRPr="00580125">
              <w:rPr>
                <w:rFonts w:ascii="Times New Roman" w:hAnsi="Times New Roman"/>
                <w:kern w:val="2"/>
                <w:sz w:val="24"/>
                <w:szCs w:val="24"/>
              </w:rPr>
              <w:lastRenderedPageBreak/>
              <w:t>освітньому процесі без будь-якої упередженості за ознакою статі щодо їх нахилів, здібностей та задатків; уподобань та можливостей у навчанні, рівня навчальних досягнень</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lastRenderedPageBreak/>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23. Недискримінаційна комунікація у взаємодії учасниць і учасників освітнього процесу</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проведення інформаційно-роз’яснювальної кампанії щодо недискримінаційної комунікації у взаємодії учасниць і учасників освітнього процесу</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підвищено кваліфікацію/ поінформованість педагогічних </w:t>
            </w:r>
            <w:r w:rsidRPr="00580125">
              <w:rPr>
                <w:rFonts w:ascii="Times New Roman" w:hAnsi="Times New Roman"/>
                <w:kern w:val="2"/>
                <w:sz w:val="24"/>
                <w:szCs w:val="24"/>
              </w:rPr>
              <w:br/>
            </w:r>
            <w:r w:rsidRPr="00580125">
              <w:rPr>
                <w:rFonts w:ascii="Times New Roman" w:hAnsi="Times New Roman"/>
                <w:spacing w:val="-4"/>
                <w:kern w:val="2"/>
                <w:sz w:val="24"/>
                <w:szCs w:val="24"/>
              </w:rPr>
              <w:t>(науково-педагогічних)</w:t>
            </w:r>
            <w:r w:rsidRPr="00580125">
              <w:rPr>
                <w:rFonts w:ascii="Times New Roman" w:hAnsi="Times New Roman"/>
                <w:kern w:val="2"/>
                <w:sz w:val="24"/>
                <w:szCs w:val="24"/>
              </w:rPr>
              <w:t xml:space="preserve"> працівниць/ працівників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24. Формування навичок безпечної взаємодії з інформаційно-комунікаційним середовищем, що надає доступ до принизливого контенту сексуального або насильницького характеру, який може бути шкідливим</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проведення заходів з обміну та поширення досвіду щодо формування навичок безпечної взаємодії з інформаційно-комунікаційним середовищем, що надає доступ до принизливого контенту сексуального або насильницького характеру, який може бути шкідливим</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25. Збалансування з урахуванням принципу забезпечення рівних прав та можливостей жінок і чоловіків: </w:t>
            </w:r>
          </w:p>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у закладах дошкільної освіти </w:t>
            </w:r>
            <w:r w:rsidR="00580125">
              <w:rPr>
                <w:rFonts w:ascii="Times New Roman" w:hAnsi="Times New Roman"/>
                <w:kern w:val="2"/>
                <w:sz w:val="24"/>
                <w:szCs w:val="24"/>
              </w:rPr>
              <w:t>-</w:t>
            </w:r>
            <w:r w:rsidRPr="00580125">
              <w:rPr>
                <w:rFonts w:ascii="Times New Roman" w:hAnsi="Times New Roman"/>
                <w:kern w:val="2"/>
                <w:sz w:val="24"/>
                <w:szCs w:val="24"/>
              </w:rPr>
              <w:t xml:space="preserve"> предметно-розвивального середовища, процесу добору іграшок, облаштування осередків діяльності (ігрових зон), доступу дітей до обладнання з </w:t>
            </w:r>
            <w:r w:rsidRPr="00580125">
              <w:rPr>
                <w:rFonts w:ascii="Times New Roman" w:hAnsi="Times New Roman"/>
                <w:kern w:val="2"/>
                <w:sz w:val="24"/>
                <w:szCs w:val="24"/>
              </w:rPr>
              <w:lastRenderedPageBreak/>
              <w:t xml:space="preserve">урахуванням їх інтересів, без закріплення за статевою ознакою та із забезпеченням однакових можливостей у доступі до різних іграшок, спортивного інвентарю тощо; </w:t>
            </w:r>
          </w:p>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у закладах загальної середньої, спеціалізованої, професійної (професійно-технічної), фахової передвищої, вищої освіти </w:t>
            </w:r>
            <w:r w:rsidR="00580125">
              <w:rPr>
                <w:rFonts w:ascii="Times New Roman" w:hAnsi="Times New Roman"/>
                <w:kern w:val="2"/>
                <w:sz w:val="24"/>
                <w:szCs w:val="24"/>
              </w:rPr>
              <w:t>-</w:t>
            </w:r>
            <w:r w:rsidRPr="00580125">
              <w:rPr>
                <w:rFonts w:ascii="Times New Roman" w:hAnsi="Times New Roman"/>
                <w:kern w:val="2"/>
                <w:sz w:val="24"/>
                <w:szCs w:val="24"/>
              </w:rPr>
              <w:t xml:space="preserve"> візуальної та навчальної складових з урахуванням інтересів, можливостей та здобутків всього учнівства/ студентства із забезпеченням однакового доступу до навчального приладдя, спортивного інвентарю тощо</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проведення науково-практичних конференцій та інших заходів з обміну та поширення досвіду щодо збалансування з урахуванням забезпечення рівних прав та можливостей жінок і чоловіків</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26. Сприяння участі членів родини здобувачок і здобувачів освіти у просвітницьких заходах щодо забезпечення рівних прав та можливостей жінок і чоловіків (привернення уваги до нав’язування стереотипів за ознакою статі через інформаційне оточення, дитячу літературу, марковані за ознакою статі іграшки та одяг; ознайомлення із різноманітними проявами сексизму тощо)</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розроблення інформаційних матеріалів, методичних посібників, проведення тренінгів, занять для батьків з подолання гендерних стереотипів і формування гендерної культури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27. Створення у закладах загальної середньої освіти умов для </w:t>
            </w:r>
            <w:r w:rsidRPr="00580125">
              <w:rPr>
                <w:rFonts w:ascii="Times New Roman" w:hAnsi="Times New Roman"/>
                <w:sz w:val="24"/>
                <w:szCs w:val="24"/>
              </w:rPr>
              <w:t>забезпечення використання однакових за змістом освітніх програм з усіх предметів для дівчат і хлопців, запровадження навчальних курсів за вибором, включення питань забезпечення рівних прав та можливостей жінок і чоловіків до освітніх програм та факультативів</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проведення інформаційно-консультаційних зустрічей, вебінарів щодо створення у закладах загальної середньої освіти умов для запровадження навчальних курсів за вибором, факультативів з питань забезпечення рівних прав та можливостей жінок і чоловіків</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підвищено кваліфікацію/ поінформованість педагогічних (науково-педагогічних) працівниць/ працівників </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28. Включення до навчальних планів закладів професійної (професійно-технічної) освіти курсів/дисциплін з питань забезпечення рівних прав та можливостей жінок і чоловіків та тематичних розділів до планів дисциплін для студенток/студентів всіх спеціальностей, забезпечення гендерної чутливості програмно-методичного матеріалу, який використовується у закладах освіти</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проведення інформаційно-консультаційних зустрічей щодо включення до навчальних планів курсів/дисциплін з питань забезпечення рівних прав та можливостей жінок і чоловіків та тематичних розділів до планів дисциплін для студенток/ студентів всіх спеціальностей тематичних розділів, забезпечення гендерної чутливості програмно-методичного матеріалу, який використовується у закладах освіти</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29. Створення у закладах фахової передвищої, вищої та післядипломної освіти умов для включення до навчальних планів курсів/дисциплін з гендерної теорії питань забезпечення рівних прав та можливостей жінок і </w:t>
            </w:r>
            <w:r w:rsidRPr="00580125">
              <w:rPr>
                <w:rFonts w:ascii="Times New Roman" w:hAnsi="Times New Roman"/>
                <w:kern w:val="2"/>
                <w:sz w:val="24"/>
                <w:szCs w:val="24"/>
              </w:rPr>
              <w:lastRenderedPageBreak/>
              <w:t>чоловіків</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проведення інформаційно-консультаційних зустрічей, вебінарів щодо створення у закладах загальної середньої освіти умов для включення до навчальних планів курсів/дисциплін з гендерної теорії питань забезпечення рівних прав та </w:t>
            </w:r>
            <w:r w:rsidRPr="00580125">
              <w:rPr>
                <w:rFonts w:ascii="Times New Roman" w:hAnsi="Times New Roman"/>
                <w:kern w:val="2"/>
                <w:sz w:val="24"/>
                <w:szCs w:val="24"/>
              </w:rPr>
              <w:lastRenderedPageBreak/>
              <w:t>можливостей жінок і чоловіків</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30. Проведення у закладах дошкільної освіти антидискримінаційної експертизи програм (комплексних, парціальних), дитячої та методичної літератури (навчально-методичних, методичних посібників; методичних рекомендацій; навчальних посібників, хрестоматійних збірок, альбомів, робочих зошитів для дітей; наочних посібників); програм і посібників для роботи з особами з особливими освітніми потребами</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проведення антидискримінаційної експертизи програм та їх доопрацювання за результатами експертизи</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2022</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забезпечено здійснення освітнього процесу відповідно до програм з урахуванням принципу забезпечення рівних прав та можливостей жінок і чоловіків</w:t>
            </w:r>
          </w:p>
        </w:tc>
        <w:tc>
          <w:tcPr>
            <w:tcW w:w="936"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lang w:val="en-US"/>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31. Проведення у закладах загальної середньої освіти антидискримінаційної експертизи навчальних програм та навчальної літератури з урахуванням принципу забезпечення рівних прав та можливостей жінок і чоловіків</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проведення антидискримінаційної експертизи програм та їх доопрацювання за результатами експертизи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забезпечено здійснення освітнього процесу з урахуванням принципу забезпечення рівних прав та можливостей жінок і чоловіків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32. Проведення у закладах професійної (професійно-технічної) освіти антидискримінаційної експертизи навчальних планів і програм (різних профілів навчання); методичного забезпечення навчально-виробничого і </w:t>
            </w:r>
            <w:r w:rsidRPr="00580125">
              <w:rPr>
                <w:rFonts w:ascii="Times New Roman" w:hAnsi="Times New Roman"/>
                <w:kern w:val="2"/>
                <w:sz w:val="24"/>
                <w:szCs w:val="24"/>
              </w:rPr>
              <w:lastRenderedPageBreak/>
              <w:t>навчально-виховного процесу, робочої навчально-програмної документації</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проведення антидискримінаційної експертизи програм та їх доопрацювання за результатами експертизи</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працівників/ працівниць</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r w:rsidR="004F4704" w:rsidRPr="00580125">
              <w:rPr>
                <w:rFonts w:ascii="Times New Roman" w:hAnsi="Times New Roman"/>
                <w:kern w:val="2"/>
                <w:sz w:val="24"/>
                <w:szCs w:val="24"/>
              </w:rPr>
              <w:br/>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33. Проведення у закладах фахової передвищої, вищої та післядипломної освіти антидискримінаційної експертизи навчальної та методичної літератури (програмно-методичних видань (навчальних планів та програм), навчально-методичних видань (методичних вказівок, завдань для виконання контрольних та лабораторних робіт); навчальних видань (підручників, навчальних посібників, конспектів лекцій); допоміжних видань (книг для читання, хрестоматій, практикумів, збірників задач), що використовуються у навчально-виховному процесі; системна відмова від профорієнтації, що ґрунтується на стереотипах за ознакою статі</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проведення антидискримінаційної експертизи програм та їх доопрацювання за результатами експертизи</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усунено профорієнтацію, що ґрунтується на стереотипах за ознакою статі</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34. Організація у закладах дошкільної освіти освітнього процесу, спрямованого на оволодіння дівчатами і хлопцями рядом варіативних моделей поведінки для їх успішної подальшої самореалізації; надання суб’єктам навчально-виховного </w:t>
            </w:r>
            <w:r w:rsidRPr="00580125">
              <w:rPr>
                <w:rFonts w:ascii="Times New Roman" w:hAnsi="Times New Roman"/>
                <w:kern w:val="2"/>
                <w:sz w:val="24"/>
                <w:szCs w:val="24"/>
              </w:rPr>
              <w:lastRenderedPageBreak/>
              <w:t>процесу інформації щодо можливості професійного самовизначення без обмеження їх рамками “жіночих/чоловічих” професій</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проведення інформаційно-консультаційних зустрічей, вебінарів щодо аналізу і формування гендерно чутливого освітнього середовища у закладах дошкільної освіти, відмови від принципу “прихованої статевої профорієнтації”, організації навчально-виховної (ігрової) </w:t>
            </w:r>
            <w:r w:rsidRPr="00580125">
              <w:rPr>
                <w:rFonts w:ascii="Times New Roman" w:hAnsi="Times New Roman"/>
                <w:kern w:val="2"/>
                <w:sz w:val="24"/>
                <w:szCs w:val="24"/>
              </w:rPr>
              <w:lastRenderedPageBreak/>
              <w:t xml:space="preserve">діяльності, спрямованої на оволодіння дівчатами і хлопцями рядом варіативних моделей поведінки для їх успішної подальшої самореалізації, виключення із комунікативних стратегій педагогів закладів дошкільної освіти вербальних вказівок на невідповідність дітей нормам статевої поведінки та вживання на заняттях гендерно чутливих мови/мовлення, виявлення і нейтралізації гендерних стереотипів </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працівників/ працівниць</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35. Надання здобувачкам і здобувачам повної загальної середньої, позашкільної та професійної (професійно-технічної освіти) освіти повної та вичерпної інформації щодо можливості професійного самовизначення та оволодіння професійними вміннями відповідно до особистісних здібностей та інтересів без обмеження їх рамками “жіночих/ чоловічих” професій для подальшої повноцінної та вичерпної самореалізації в дорослому житті, взаємин у родині здобувачок і здобувачів освіти, рівної відповідальності жінки і чоловіка за народження та виховання дітей, а також </w:t>
            </w:r>
            <w:r w:rsidRPr="00580125">
              <w:rPr>
                <w:rFonts w:ascii="Times New Roman" w:hAnsi="Times New Roman"/>
                <w:kern w:val="2"/>
                <w:sz w:val="24"/>
                <w:szCs w:val="24"/>
              </w:rPr>
              <w:lastRenderedPageBreak/>
              <w:t>створення доброзичливої атмосфери без цькування чи дискримінації, яка утверджує повагу до гідності усіх членів родини здобувачок і здобувачів освіти і сприяє особистісному зростанню; розкриття можливостей у досягненні певного (бажаного) статусу в громадсько-політичній діяльності незалежно від статевої приналежності; проведення кампаній для інформування та мотивації дівчат і жінок щодо вибору нестереотипної кар’єри STEM</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проведення інформаційно-консультаційних зустрічей, вебінарів щодо можливостей професійного визначення без обмеження рамками “жіночих/ чоловічих” професій, паритетних взаємин у родині здобувачок і здобувачів освіти та створення доброзичливої атмосфери без цькування чи дискримінації, розкриття можливостей у досягненні певного (бажаного) статусу в громадсько-політичній діяльності незалежно від статевої приналежності, мотивації дівчат і жінок щодо вибору нестереотипної кар’єри STEM</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підвищено кваліфікацію/ поінформованість педагогічних (науково-педагогічних) працівниць/ працівників </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36. Формування у закладах професійної (професійно-технічної) освіти професійного світогляду незалежно від статі для розкриття потенціалу та розвитку професійної мотивації здобувачок і здобувачів освіти, що сприятиме підвищенню якості їх підготовки та затребуваності на ринку праці</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проведення інформаційно-роз’яснювальної роботи, навчальних заходів серед здобувачок і здобувачів освіти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37. Забезпечення у закладах фахової передвищої, вищої та післядипломної освіти рівності прав та можливостей жінок і чоловіків для розкриття потенціалу та розвитку професійної мотивації здобувачок </w:t>
            </w:r>
            <w:r w:rsidRPr="00580125">
              <w:rPr>
                <w:rFonts w:ascii="Times New Roman" w:hAnsi="Times New Roman"/>
                <w:kern w:val="2"/>
                <w:sz w:val="24"/>
                <w:szCs w:val="24"/>
              </w:rPr>
              <w:lastRenderedPageBreak/>
              <w:t>і здобувачів освіти, що сприятиме підвищенню якості їх підготовки та затребуваності на ринку праці; проведення для інформування та мотивації дівчат і жінок кампаній щодо вибору нестереотипної кар’єри STEM; надання учасницям і учасникам освітнього процесу повної та вичерпної інформації щодо можливості професійного визначення відповідно до особистісних здібностей та інтересів без обмеження їх рамками “жіночих/чоловічих” професій</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проведення інформаційно-консультаційних зустрічей, вебінарів щодо професійної орієнтації (допомоги у виборі освіти, професії), корекції професійних планів, визначення мінімального досвіду в конкретній роботі незалежно від статі </w:t>
            </w:r>
            <w:r w:rsidRPr="00580125">
              <w:rPr>
                <w:rFonts w:ascii="Times New Roman" w:hAnsi="Times New Roman"/>
                <w:kern w:val="2"/>
                <w:sz w:val="24"/>
                <w:szCs w:val="24"/>
              </w:rPr>
              <w:lastRenderedPageBreak/>
              <w:t>для розкриття потенціалу та розвитку професійної мотивації здобувачок і здобувачів освіти у співпраці з державними та місцевими центрами зайнятості, включення до навчальних планів курсів/дисциплін з питань забезпечення рівних прав та можливостей жінок і чоловіків для їх підготовки та затребуваності на ринку праці</w:t>
            </w:r>
          </w:p>
        </w:tc>
        <w:tc>
          <w:tcPr>
            <w:tcW w:w="515"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lastRenderedPageBreak/>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36"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38. Запровадження у закладах освіти програм з позитивної взаємодії, педагогіки партнерства, педагогіки миру, соціально-емоційного та етичного навчання, що базується на взаємній повазі до гідності особи без дискримінації, навчає мистецтву вести діалог, домовлятися, вирішувати конфлікти, співпрацювати тощо</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підвищення кваліфікації педагогічних працівників та проведення заходів щодо внесення до робочих документів закладів освіти (освітньої програми, річного плану, стратегії розвитку закладів освіти тощо) змін, що стосуються запровадження у закладах освіти програм з позитивної взаємодії, педагогіки партнерства, педагогіки миру, соціально-емоційного та етичного навчання</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працівниць/працівників</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vMerge w:val="restart"/>
            <w:hideMark/>
          </w:tcPr>
          <w:p w:rsidR="004F4704" w:rsidRPr="00580125" w:rsidRDefault="004F4704" w:rsidP="00006FC3">
            <w:pPr>
              <w:pStyle w:val="a5"/>
              <w:widowControl w:val="0"/>
              <w:spacing w:before="6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39. Підготовка методичних рекомендацій та програм підвищення кваліфікації щодо недискримінаційного навчання, створення недискримінаційного освітнього контенту, формування гендерно чутливого освітнього середовища, використання </w:t>
            </w:r>
            <w:r w:rsidRPr="00580125">
              <w:rPr>
                <w:rFonts w:ascii="Times New Roman" w:hAnsi="Times New Roman"/>
                <w:kern w:val="2"/>
                <w:sz w:val="24"/>
                <w:szCs w:val="24"/>
              </w:rPr>
              <w:lastRenderedPageBreak/>
              <w:t>гендерно чутливої та недискримінаційної мови</w:t>
            </w:r>
          </w:p>
        </w:tc>
        <w:tc>
          <w:tcPr>
            <w:tcW w:w="1351" w:type="pct"/>
            <w:hideMark/>
          </w:tcPr>
          <w:p w:rsidR="004F4704" w:rsidRPr="00580125" w:rsidRDefault="004F4704" w:rsidP="00006FC3">
            <w:pPr>
              <w:pStyle w:val="a5"/>
              <w:widowControl w:val="0"/>
              <w:spacing w:before="60"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1) укладення методичних рекомендацій, словників використання гендерно чутливої та недискримінаційної мови </w:t>
            </w:r>
          </w:p>
        </w:tc>
        <w:tc>
          <w:tcPr>
            <w:tcW w:w="515" w:type="pct"/>
            <w:hideMark/>
          </w:tcPr>
          <w:p w:rsidR="004F4704" w:rsidRPr="00580125" w:rsidRDefault="004F4704" w:rsidP="00006FC3">
            <w:pPr>
              <w:pStyle w:val="a5"/>
              <w:widowControl w:val="0"/>
              <w:spacing w:before="60"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vMerge w:val="restart"/>
            <w:hideMark/>
          </w:tcPr>
          <w:p w:rsidR="004F4704" w:rsidRPr="00580125" w:rsidRDefault="004F4704" w:rsidP="00006FC3">
            <w:pPr>
              <w:pStyle w:val="a5"/>
              <w:widowControl w:val="0"/>
              <w:spacing w:before="60" w:line="228" w:lineRule="auto"/>
              <w:ind w:left="-48" w:right="-113" w:firstLine="0"/>
              <w:rPr>
                <w:rFonts w:ascii="Times New Roman" w:hAnsi="Times New Roman"/>
                <w:kern w:val="2"/>
                <w:sz w:val="24"/>
                <w:szCs w:val="24"/>
              </w:rPr>
            </w:pPr>
            <w:r w:rsidRPr="00580125">
              <w:rPr>
                <w:rFonts w:ascii="Times New Roman" w:hAnsi="Times New Roman"/>
                <w:kern w:val="2"/>
                <w:sz w:val="24"/>
                <w:szCs w:val="24"/>
              </w:rPr>
              <w:t>створено умови і нормати</w:t>
            </w:r>
            <w:r w:rsidRPr="00580125">
              <w:rPr>
                <w:rFonts w:ascii="Times New Roman" w:hAnsi="Times New Roman"/>
                <w:spacing w:val="-4"/>
                <w:kern w:val="2"/>
                <w:sz w:val="24"/>
                <w:szCs w:val="24"/>
              </w:rPr>
              <w:t>вне забезпечення</w:t>
            </w:r>
            <w:r w:rsidRPr="00580125">
              <w:rPr>
                <w:rFonts w:ascii="Times New Roman" w:hAnsi="Times New Roman"/>
                <w:kern w:val="2"/>
                <w:sz w:val="24"/>
                <w:szCs w:val="24"/>
              </w:rPr>
              <w:t xml:space="preserve"> для </w:t>
            </w:r>
            <w:r w:rsidRPr="00580125">
              <w:rPr>
                <w:rFonts w:ascii="Times New Roman" w:hAnsi="Times New Roman"/>
                <w:spacing w:val="-4"/>
                <w:kern w:val="2"/>
                <w:sz w:val="24"/>
                <w:szCs w:val="24"/>
              </w:rPr>
              <w:t>підвищення кваліфікації педагогічних</w:t>
            </w:r>
            <w:r w:rsidRPr="00580125">
              <w:rPr>
                <w:rFonts w:ascii="Times New Roman" w:hAnsi="Times New Roman"/>
                <w:kern w:val="2"/>
                <w:sz w:val="24"/>
                <w:szCs w:val="24"/>
              </w:rPr>
              <w:t xml:space="preserve"> (науково-педагогічних) працівниць/</w:t>
            </w:r>
            <w:r w:rsidRPr="00580125">
              <w:rPr>
                <w:rFonts w:ascii="Times New Roman" w:hAnsi="Times New Roman"/>
                <w:kern w:val="2"/>
                <w:sz w:val="24"/>
                <w:szCs w:val="24"/>
              </w:rPr>
              <w:br/>
              <w:t xml:space="preserve">працівників щодо недискримінаційного вчителювання, створення </w:t>
            </w:r>
            <w:r w:rsidRPr="00580125">
              <w:rPr>
                <w:rFonts w:ascii="Times New Roman" w:hAnsi="Times New Roman"/>
                <w:kern w:val="2"/>
                <w:sz w:val="24"/>
                <w:szCs w:val="24"/>
              </w:rPr>
              <w:lastRenderedPageBreak/>
              <w:t>недискримінаційного освітнього контенту, формування гендерно чутливого освітнього середовища, використання гендерно чутливої та недискримінаційної мови</w:t>
            </w:r>
          </w:p>
        </w:tc>
        <w:tc>
          <w:tcPr>
            <w:tcW w:w="936" w:type="pct"/>
            <w:hideMark/>
          </w:tcPr>
          <w:p w:rsidR="004F4704" w:rsidRPr="00580125" w:rsidRDefault="004F4704" w:rsidP="00006FC3">
            <w:pPr>
              <w:pStyle w:val="a5"/>
              <w:widowControl w:val="0"/>
              <w:spacing w:before="60"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2) підготовка до укладення та виконання програм підвищення </w:t>
            </w:r>
            <w:r w:rsidRPr="00580125">
              <w:rPr>
                <w:rFonts w:ascii="Times New Roman" w:hAnsi="Times New Roman"/>
                <w:kern w:val="2"/>
                <w:sz w:val="24"/>
                <w:szCs w:val="24"/>
              </w:rPr>
              <w:lastRenderedPageBreak/>
              <w:t xml:space="preserve">кваліфікації щодо недискримінаційного вчителювання, створення недискримінаційного освітнього контенту, формування гендерно чутливого освітнього середовища, використання гендерно чутливої та недискримінаційної мови </w:t>
            </w:r>
          </w:p>
        </w:tc>
        <w:tc>
          <w:tcPr>
            <w:tcW w:w="515"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lastRenderedPageBreak/>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0" w:type="auto"/>
            <w:vMerge/>
            <w:vAlign w:val="center"/>
            <w:hideMark/>
          </w:tcPr>
          <w:p w:rsidR="004F4704" w:rsidRPr="00580125" w:rsidRDefault="004F4704" w:rsidP="00006FC3">
            <w:pPr>
              <w:rPr>
                <w:rFonts w:ascii="Times New Roman" w:hAnsi="Times New Roman"/>
                <w:kern w:val="2"/>
                <w:sz w:val="24"/>
                <w:szCs w:val="24"/>
              </w:rPr>
            </w:pPr>
          </w:p>
        </w:tc>
        <w:tc>
          <w:tcPr>
            <w:tcW w:w="936"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40. Забезпечення міжособистісної взаємодії на основі здатності приймати унікальність і потреби кожної людини для співпраці у процесі забезпечення загального блага і суспільного добробуту</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проведення занять/уроків/заходів, конференцій, тренінгів, які сприяють кращому розумінню унікальності і значимості кожної людини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рівень міжособистісної взаємодії учасниць/ учасників освітнього процесу, прийняття унікальності і потреб кожної людини</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41. Проведення уроків/заходів, які сприяють кращому розумінню унікальності і значимості кожної людини, що допомагає пізнавати світ, збагачувати свідомість у співпраці та довірі</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розроблення методичних рекомендацій для закладів усіх форм освіти з проведення уроків, організаційно-методичних та просвітницьких заходів відповідно до розроблених рекомендацій</w:t>
            </w:r>
          </w:p>
        </w:tc>
        <w:tc>
          <w:tcPr>
            <w:tcW w:w="515"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підвищено рівень розуміння учасницями/  учасниками освітнього процесу унікальності і значимості кожної людини</w:t>
            </w:r>
          </w:p>
        </w:tc>
        <w:tc>
          <w:tcPr>
            <w:tcW w:w="936"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42. Систематизація наявних напрацювань, досвіду впровадження, а також включення академічних текстів з питань забезпечення рівних прав та можливостей жінок і чоловіків до Національного репозитарію академічних текстів та розміщення узагальненої інформації на офіційному веб-сайті МОН, веб-сайтах підприємств, установ та організацій, що належать до сфери управління МОН, та закладів </w:t>
            </w:r>
            <w:r w:rsidRPr="00580125">
              <w:rPr>
                <w:rFonts w:ascii="Times New Roman" w:hAnsi="Times New Roman"/>
                <w:kern w:val="2"/>
                <w:sz w:val="24"/>
                <w:szCs w:val="24"/>
              </w:rPr>
              <w:lastRenderedPageBreak/>
              <w:t>освіти для забезпечення можливості використання під час підготовки майбутніх фахівчинь і фахівців</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підготовка інформаційних повідомлень на основі наявних напрацювань, досвіду впровадження рівних прав і можливостей жінок і чоловіків та систематизації напрацювань і включення до Національного репозитарію академічних текстів та розміщення інформації на офіційному веб-сайті МОН, </w:t>
            </w:r>
            <w:r w:rsidRPr="00580125">
              <w:rPr>
                <w:rFonts w:ascii="Times New Roman" w:hAnsi="Times New Roman"/>
                <w:kern w:val="2"/>
                <w:sz w:val="24"/>
                <w:szCs w:val="24"/>
              </w:rPr>
              <w:br/>
              <w:t xml:space="preserve">веб-сайтах підприємств, установ та організацій, що належать до сфери управління МОН, та </w:t>
            </w:r>
            <w:r w:rsidRPr="00580125">
              <w:rPr>
                <w:rFonts w:ascii="Times New Roman" w:hAnsi="Times New Roman"/>
                <w:kern w:val="2"/>
                <w:sz w:val="24"/>
                <w:szCs w:val="24"/>
              </w:rPr>
              <w:br/>
              <w:t xml:space="preserve">закладів освіти </w:t>
            </w:r>
          </w:p>
        </w:tc>
        <w:tc>
          <w:tcPr>
            <w:tcW w:w="515"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забезпечено широкий доступ до напрацювань, досвіду впровадження, академічних текстів з питань забезпечення рівних прав та можливостей жінок і чоловіків та підвищено рівень поінформованості про мету та можливості їх використання в освітньому процесі </w:t>
            </w:r>
          </w:p>
        </w:tc>
        <w:tc>
          <w:tcPr>
            <w:tcW w:w="936"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43. Сприяння навчанню науково-педагогічних працівниць/працівників щодо забезпечення рівних прав та можливостей жінок і чоловіків, зокрема включення до планів підвищення кваліфікації навчальних та спеціальних курсів з питань забезпечення рівних прав та можливостей жінок і чоловіків </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проведення інформаційно-консультаційних зустрічей, вебінарів щодо включення до планів підвищення кваліфікації навчальних та спеціальних курсів з питань забезпечення рівних прав та можливостей жінок і чоловіків</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vMerge w:val="restar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44. Включення гендерної культури/компетентності до загальних компетентностей педагогічних, науково-педагогічних та наукових працівниць/працівників із зазначенням у посадових інструкціях та включенням заходів щодо підвищення кваліфікації з формування гендерної культури як пріоритетних</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1) включення гендерної культури/компетентності до професійних стандартів у сфері освіти </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36"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2) розроблення рекомендацій щодо включення до посадових інструкцій педагогічних, науково-педагогічних, наукових працівниць/працівників гендерної компетентності</w:t>
            </w:r>
          </w:p>
        </w:tc>
        <w:tc>
          <w:tcPr>
            <w:tcW w:w="515"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36"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vMerge w:val="restart"/>
            <w:hideMark/>
          </w:tcPr>
          <w:p w:rsidR="004F4704" w:rsidRPr="00580125" w:rsidRDefault="004F4704" w:rsidP="00006FC3">
            <w:pPr>
              <w:pStyle w:val="a5"/>
              <w:widowControl w:val="0"/>
              <w:spacing w:before="8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45. Забезпечення нормативно-правової підтримки та сертифікованих експерток і експертів, які проводять антидискримінаційну експертизу освітнього контенту щодо його відповідності принципу забезпечення рівних прав та </w:t>
            </w:r>
            <w:r w:rsidRPr="00580125">
              <w:rPr>
                <w:rFonts w:ascii="Times New Roman" w:hAnsi="Times New Roman"/>
                <w:kern w:val="2"/>
                <w:sz w:val="24"/>
                <w:szCs w:val="24"/>
              </w:rPr>
              <w:lastRenderedPageBreak/>
              <w:t>можливостей жінок і чоловіків, розроблення і впровадження необхідних процедур</w:t>
            </w:r>
          </w:p>
        </w:tc>
        <w:tc>
          <w:tcPr>
            <w:tcW w:w="1351" w:type="pct"/>
            <w:hideMark/>
          </w:tcPr>
          <w:p w:rsidR="004F4704" w:rsidRPr="00580125" w:rsidRDefault="004F4704" w:rsidP="00006FC3">
            <w:pPr>
              <w:pStyle w:val="a5"/>
              <w:widowControl w:val="0"/>
              <w:spacing w:before="80"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1) проведення навчання або підвищення кваліфікації і підтвердження сертифікації за сертифікаційною програмою експертом і експертів з недискримінаційного підходу в освіті</w:t>
            </w:r>
          </w:p>
        </w:tc>
        <w:tc>
          <w:tcPr>
            <w:tcW w:w="515" w:type="pct"/>
            <w:hideMark/>
          </w:tcPr>
          <w:p w:rsidR="004F4704" w:rsidRPr="00580125" w:rsidRDefault="004F4704" w:rsidP="00006FC3">
            <w:pPr>
              <w:pStyle w:val="a5"/>
              <w:widowControl w:val="0"/>
              <w:spacing w:before="80"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2023 рік</w:t>
            </w:r>
          </w:p>
        </w:tc>
        <w:tc>
          <w:tcPr>
            <w:tcW w:w="969" w:type="pct"/>
            <w:hideMark/>
          </w:tcPr>
          <w:p w:rsidR="004F4704" w:rsidRPr="00580125" w:rsidRDefault="004F4704" w:rsidP="00006FC3">
            <w:pPr>
              <w:pStyle w:val="a5"/>
              <w:widowControl w:val="0"/>
              <w:spacing w:before="80" w:line="228" w:lineRule="auto"/>
              <w:ind w:right="-113" w:firstLine="0"/>
              <w:rPr>
                <w:rFonts w:ascii="Times New Roman" w:hAnsi="Times New Roman"/>
                <w:kern w:val="2"/>
                <w:sz w:val="24"/>
                <w:szCs w:val="24"/>
              </w:rPr>
            </w:pPr>
            <w:r w:rsidRPr="00580125">
              <w:rPr>
                <w:rFonts w:ascii="Times New Roman" w:hAnsi="Times New Roman"/>
                <w:kern w:val="2"/>
                <w:sz w:val="24"/>
                <w:szCs w:val="24"/>
              </w:rPr>
              <w:t>підвищено рівень гендерної культури педагогічних, науково-педагогічних та наукових працівниць/ працівників</w:t>
            </w:r>
          </w:p>
        </w:tc>
        <w:tc>
          <w:tcPr>
            <w:tcW w:w="936" w:type="pct"/>
            <w:hideMark/>
          </w:tcPr>
          <w:p w:rsidR="004F4704" w:rsidRPr="00580125" w:rsidRDefault="004F4704" w:rsidP="00006FC3">
            <w:pPr>
              <w:pStyle w:val="a5"/>
              <w:widowControl w:val="0"/>
              <w:spacing w:before="80"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pStyle w:val="a5"/>
              <w:widowControl w:val="0"/>
              <w:spacing w:before="8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2) внесення до нормативно-правових документів змін щодо участі </w:t>
            </w:r>
            <w:r w:rsidRPr="00580125">
              <w:rPr>
                <w:rFonts w:ascii="Times New Roman" w:hAnsi="Times New Roman"/>
                <w:kern w:val="2"/>
                <w:sz w:val="24"/>
                <w:szCs w:val="24"/>
              </w:rPr>
              <w:lastRenderedPageBreak/>
              <w:t>сертифікованих експерток і експертів у проведенні інституційного аудиту закладів освіти</w:t>
            </w:r>
          </w:p>
        </w:tc>
        <w:tc>
          <w:tcPr>
            <w:tcW w:w="515" w:type="pct"/>
            <w:hideMark/>
          </w:tcPr>
          <w:p w:rsidR="004F4704" w:rsidRPr="00580125" w:rsidRDefault="004F4704" w:rsidP="00006FC3">
            <w:pPr>
              <w:pStyle w:val="a5"/>
              <w:widowControl w:val="0"/>
              <w:spacing w:before="80"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spacing w:before="80" w:line="228" w:lineRule="auto"/>
              <w:ind w:right="-113" w:firstLine="0"/>
              <w:rPr>
                <w:rFonts w:ascii="Times New Roman" w:hAnsi="Times New Roman"/>
                <w:kern w:val="2"/>
                <w:sz w:val="24"/>
                <w:szCs w:val="24"/>
              </w:rPr>
            </w:pPr>
            <w:r w:rsidRPr="00580125">
              <w:rPr>
                <w:rFonts w:ascii="Times New Roman" w:hAnsi="Times New Roman"/>
                <w:kern w:val="2"/>
                <w:sz w:val="24"/>
                <w:szCs w:val="24"/>
              </w:rPr>
              <w:t>розроблено/оновлено нормативні документи</w:t>
            </w:r>
          </w:p>
        </w:tc>
        <w:tc>
          <w:tcPr>
            <w:tcW w:w="936" w:type="pct"/>
            <w:hideMark/>
          </w:tcPr>
          <w:p w:rsidR="004F4704" w:rsidRPr="00580125" w:rsidRDefault="00580125" w:rsidP="00006FC3">
            <w:pPr>
              <w:pStyle w:val="a5"/>
              <w:widowControl w:val="0"/>
              <w:spacing w:before="80"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vMerge w:val="restart"/>
            <w:hideMark/>
          </w:tcPr>
          <w:p w:rsidR="004F4704" w:rsidRPr="00580125" w:rsidRDefault="004F4704" w:rsidP="00006FC3">
            <w:pPr>
              <w:pStyle w:val="a5"/>
              <w:widowControl w:val="0"/>
              <w:spacing w:before="80" w:line="228" w:lineRule="auto"/>
              <w:ind w:right="-113" w:firstLine="0"/>
              <w:rPr>
                <w:rFonts w:ascii="Times New Roman" w:hAnsi="Times New Roman"/>
                <w:kern w:val="2"/>
                <w:sz w:val="24"/>
                <w:szCs w:val="24"/>
              </w:rPr>
            </w:pPr>
            <w:r w:rsidRPr="00580125">
              <w:rPr>
                <w:rFonts w:ascii="Times New Roman" w:hAnsi="Times New Roman"/>
                <w:kern w:val="2"/>
                <w:sz w:val="24"/>
                <w:szCs w:val="24"/>
              </w:rPr>
              <w:t>46. Визначення компонента забезпечення рівних прав та можливостей жінок і чоловіків складовою частиною концепції національного виховання і культурно-просвітницької роботи, формування компетентності із забезпечення рівних прав та можливостей жінок і чоловіків</w:t>
            </w:r>
          </w:p>
        </w:tc>
        <w:tc>
          <w:tcPr>
            <w:tcW w:w="1351" w:type="pct"/>
            <w:hideMark/>
          </w:tcPr>
          <w:p w:rsidR="004F4704" w:rsidRPr="00580125" w:rsidRDefault="004F4704" w:rsidP="00006FC3">
            <w:pPr>
              <w:pStyle w:val="a5"/>
              <w:widowControl w:val="0"/>
              <w:spacing w:before="80" w:line="228" w:lineRule="auto"/>
              <w:ind w:right="-113" w:firstLine="0"/>
              <w:rPr>
                <w:rFonts w:ascii="Times New Roman" w:hAnsi="Times New Roman"/>
                <w:kern w:val="2"/>
                <w:sz w:val="24"/>
                <w:szCs w:val="24"/>
              </w:rPr>
            </w:pPr>
            <w:r w:rsidRPr="00580125">
              <w:rPr>
                <w:rFonts w:ascii="Times New Roman" w:hAnsi="Times New Roman"/>
                <w:kern w:val="2"/>
                <w:sz w:val="24"/>
                <w:szCs w:val="24"/>
              </w:rPr>
              <w:t>1) визначення компонента забезпечення рівних прав та можливостей жінок і чоловіків як складової частини концепції національного виховання і культурно-просвітницької роботи</w:t>
            </w:r>
          </w:p>
        </w:tc>
        <w:tc>
          <w:tcPr>
            <w:tcW w:w="515" w:type="pct"/>
            <w:hideMark/>
          </w:tcPr>
          <w:p w:rsidR="004F4704" w:rsidRPr="00580125" w:rsidRDefault="00580125" w:rsidP="00006FC3">
            <w:pPr>
              <w:pStyle w:val="a5"/>
              <w:widowControl w:val="0"/>
              <w:spacing w:before="80"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580125" w:rsidP="00006FC3">
            <w:pPr>
              <w:pStyle w:val="a5"/>
              <w:widowControl w:val="0"/>
              <w:spacing w:before="80"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36" w:type="pct"/>
            <w:hideMark/>
          </w:tcPr>
          <w:p w:rsidR="004F4704" w:rsidRPr="00580125" w:rsidRDefault="00580125" w:rsidP="00006FC3">
            <w:pPr>
              <w:pStyle w:val="a5"/>
              <w:widowControl w:val="0"/>
              <w:spacing w:before="80"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pStyle w:val="a5"/>
              <w:widowControl w:val="0"/>
              <w:spacing w:before="8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2) проведення організаційно-методичних та просвітницьких заходів щодо внесеного компонента </w:t>
            </w:r>
          </w:p>
        </w:tc>
        <w:tc>
          <w:tcPr>
            <w:tcW w:w="515" w:type="pct"/>
            <w:hideMark/>
          </w:tcPr>
          <w:p w:rsidR="004F4704" w:rsidRPr="00580125" w:rsidRDefault="00580125" w:rsidP="00006FC3">
            <w:pPr>
              <w:pStyle w:val="a5"/>
              <w:widowControl w:val="0"/>
              <w:spacing w:before="80"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vAlign w:val="center"/>
            <w:hideMark/>
          </w:tcPr>
          <w:p w:rsidR="004F4704" w:rsidRPr="00580125" w:rsidRDefault="004F4704" w:rsidP="00006FC3">
            <w:pPr>
              <w:widowControl w:val="0"/>
              <w:spacing w:before="80" w:line="228" w:lineRule="auto"/>
              <w:ind w:right="-113"/>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працівниць/ працівників</w:t>
            </w:r>
          </w:p>
        </w:tc>
        <w:tc>
          <w:tcPr>
            <w:tcW w:w="936" w:type="pct"/>
            <w:hideMark/>
          </w:tcPr>
          <w:p w:rsidR="004F4704" w:rsidRPr="00580125" w:rsidRDefault="00580125" w:rsidP="00006FC3">
            <w:pPr>
              <w:pStyle w:val="a5"/>
              <w:widowControl w:val="0"/>
              <w:spacing w:before="80"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47. Розроблення інформаційної бази методичних ресурсів з питань забезпечення рівних прав та можливостей жінок і чоловіків та їх розміщення на офіційному веб-сайті МОН, веб-сайтах підприємств, установ та організацій, що належать до сфери управління МОН</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розроблення та поширення інформаційної бази методичних ресурсів з питань забезпечення рівних прав та можливостей жінок і чоловіків </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забезпечено широкий доступ до інформаційної бази методичних ресурсів з питань забезпечення рівних прав та можливостей жінок і чоловіків </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580125">
            <w:pPr>
              <w:pStyle w:val="a5"/>
              <w:widowControl w:val="0"/>
              <w:ind w:right="-113" w:firstLine="0"/>
              <w:rPr>
                <w:rFonts w:ascii="Times New Roman" w:hAnsi="Times New Roman"/>
                <w:kern w:val="2"/>
                <w:sz w:val="24"/>
                <w:szCs w:val="24"/>
                <w:lang w:val="ru-RU"/>
              </w:rPr>
            </w:pPr>
            <w:r w:rsidRPr="00580125">
              <w:rPr>
                <w:rFonts w:ascii="Times New Roman" w:hAnsi="Times New Roman"/>
                <w:kern w:val="2"/>
                <w:sz w:val="24"/>
                <w:szCs w:val="24"/>
              </w:rPr>
              <w:t>48. Урахування досвіду проведення попередньої антидискримінаційної експертизи навчальної та навчально-методичної літератури та визначення єдиного алгоритму її проведення</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розроблення процедури проведення антидискримінаційної експертизи навчальної та навчально-методичної літератури </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внесено зміни до нормативних документів</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1316"/>
        </w:trPr>
        <w:tc>
          <w:tcPr>
            <w:tcW w:w="1229" w:type="pct"/>
            <w:vMerge w:val="restar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49. Запровадження обов’язкового проведення антидискримінаційної експертизи всієї навчально-методичної літератури та утворення відповідної постійно діючої експертної структури</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1) визначення переліку навчально-методичної літератури, яка підлягає обов’язковому проходженню антидискримінаційної експертизи </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vMerge w:val="restar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прийнято нормативні документи, забезпечено дотримання в навчально-методичній літературі принципу забезпечення рівних прав та можливостей жінок і чоловіків </w:t>
            </w:r>
          </w:p>
        </w:tc>
        <w:tc>
          <w:tcPr>
            <w:tcW w:w="936" w:type="pct"/>
            <w:vMerge w:val="restar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1315"/>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2) розроблення положення про постійно діючу комісію з проведення експертизи навчально-методичної літератури</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0" w:type="auto"/>
            <w:vMerge/>
            <w:vAlign w:val="center"/>
            <w:hideMark/>
          </w:tcPr>
          <w:p w:rsidR="004F4704" w:rsidRPr="00580125" w:rsidRDefault="004F4704" w:rsidP="00006FC3">
            <w:pPr>
              <w:rPr>
                <w:rFonts w:ascii="Times New Roman" w:hAnsi="Times New Roman"/>
                <w:kern w:val="2"/>
                <w:sz w:val="24"/>
                <w:szCs w:val="24"/>
              </w:rPr>
            </w:pPr>
          </w:p>
        </w:tc>
        <w:tc>
          <w:tcPr>
            <w:tcW w:w="0" w:type="auto"/>
            <w:vMerge/>
            <w:vAlign w:val="center"/>
            <w:hideMark/>
          </w:tcPr>
          <w:p w:rsidR="004F4704" w:rsidRPr="00580125" w:rsidRDefault="004F4704" w:rsidP="00006FC3">
            <w:pPr>
              <w:rPr>
                <w:rFonts w:ascii="Times New Roman" w:hAnsi="Times New Roman"/>
                <w:kern w:val="2"/>
                <w:sz w:val="24"/>
                <w:szCs w:val="24"/>
              </w:rPr>
            </w:pP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50. Розроблення та затвердження положення про проведення антидискримінаційної експертизи освітнього контенту</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підготовка положення про проведення антидискримінаційної експертизи освітнього контенту</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прийнято нормативні документи, забезпечено дотримання в навчально-методичній літературі принципів недискримінації</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5000" w:type="pct"/>
            <w:gridSpan w:val="5"/>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 xml:space="preserve">Стратегічна ціль 3. </w:t>
            </w:r>
            <w:r w:rsidRPr="00580125">
              <w:rPr>
                <w:rFonts w:ascii="Times New Roman" w:hAnsi="Times New Roman"/>
                <w:sz w:val="24"/>
                <w:szCs w:val="24"/>
              </w:rPr>
              <w:t>Посилення компетенції і можливості професійної спільноти фахівчинь і фахівців з питань забезпечення рівних прав та можливостей жінок і чоловіків, розширення міжнародного співробітництва у напрямі забезпечення рівних прав та можливостей жінок і чоловіків</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51. Інформаційна та науково-методична підтримка впровадження принципу забезпечення рівних прав та можливостей жінок і чоловіків у сфері освіти, забезпечення взаємодії наукових, освітніх закладів; створення системи наукової комунікації та кооперації</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проведення досліджень та розроблення за їх результатами нормативно-правових актів, рекомендацій щодо впровадження інклюзивного та недискримінаційного підходу у сфері освіти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працівниць/ працівників, прийнято нормативно-правові акти</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МОН </w:t>
            </w:r>
            <w:r w:rsidRPr="00580125">
              <w:rPr>
                <w:rFonts w:ascii="Times New Roman" w:hAnsi="Times New Roman"/>
                <w:kern w:val="2"/>
                <w:sz w:val="24"/>
                <w:szCs w:val="24"/>
              </w:rPr>
              <w:br/>
              <w:t>Національна академія педагогічних наук (за згодою)</w:t>
            </w:r>
            <w:r w:rsidRPr="00580125">
              <w:rPr>
                <w:rFonts w:ascii="Times New Roman" w:hAnsi="Times New Roman"/>
                <w:kern w:val="2"/>
                <w:sz w:val="24"/>
                <w:szCs w:val="24"/>
              </w:rPr>
              <w:br/>
              <w:t xml:space="preserve">обласні, Київська міська держадміністрації </w:t>
            </w:r>
            <w:r w:rsidRPr="00580125">
              <w:rPr>
                <w:rFonts w:ascii="Times New Roman" w:hAnsi="Times New Roman"/>
                <w:kern w:val="2"/>
                <w:sz w:val="24"/>
                <w:szCs w:val="24"/>
              </w:rPr>
              <w:br/>
              <w:t xml:space="preserve">органи місцевого самоврядування (за згодою) </w:t>
            </w:r>
          </w:p>
        </w:tc>
      </w:tr>
      <w:tr w:rsidR="004F4704" w:rsidRPr="00580125" w:rsidTr="00006FC3">
        <w:trPr>
          <w:trHeight w:val="2917"/>
        </w:trPr>
        <w:tc>
          <w:tcPr>
            <w:tcW w:w="1229" w:type="pct"/>
            <w:vMerge w:val="restart"/>
            <w:hideMark/>
          </w:tcPr>
          <w:p w:rsidR="004F4704" w:rsidRPr="00580125" w:rsidRDefault="004F4704" w:rsidP="00006FC3">
            <w:pPr>
              <w:pStyle w:val="a5"/>
              <w:widowControl w:val="0"/>
              <w:spacing w:before="60"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52. Організація просвітницької діяльності, інформаційна підтримка працівниць/працівників закладів освіти з питань забезпечення рівних прав і можливостей жінок і чоловіків, правових аспектів гендерної рівності, забезпечення підготовки відповідних спеціалісток/ спеціалістів, які навчають </w:t>
            </w:r>
            <w:r w:rsidRPr="00580125">
              <w:rPr>
                <w:rFonts w:ascii="Times New Roman" w:hAnsi="Times New Roman"/>
                <w:kern w:val="2"/>
                <w:sz w:val="24"/>
                <w:szCs w:val="24"/>
              </w:rPr>
              <w:br/>
              <w:t>постраждалих або осіб, що вчинили будь-які акти насильства</w:t>
            </w:r>
          </w:p>
        </w:tc>
        <w:tc>
          <w:tcPr>
            <w:tcW w:w="1351" w:type="pct"/>
            <w:hideMark/>
          </w:tcPr>
          <w:p w:rsidR="004F4704" w:rsidRPr="00580125" w:rsidRDefault="004F4704" w:rsidP="00006FC3">
            <w:pPr>
              <w:pStyle w:val="a5"/>
              <w:widowControl w:val="0"/>
              <w:spacing w:before="60" w:line="228" w:lineRule="auto"/>
              <w:ind w:right="-113" w:firstLine="0"/>
              <w:rPr>
                <w:rFonts w:ascii="Times New Roman" w:hAnsi="Times New Roman"/>
                <w:kern w:val="2"/>
                <w:sz w:val="24"/>
                <w:szCs w:val="24"/>
              </w:rPr>
            </w:pPr>
            <w:r w:rsidRPr="00580125">
              <w:rPr>
                <w:rFonts w:ascii="Times New Roman" w:hAnsi="Times New Roman"/>
                <w:kern w:val="2"/>
                <w:sz w:val="24"/>
                <w:szCs w:val="24"/>
              </w:rPr>
              <w:t>1) організація і проведення просвітницьких, інформаційних заходів з питань забезпечення рівних прав та можливостей жінок і чоловіків, правових аспектів гендерної рівності, запобігання та протидії насильству, у тому числі за ознакою статі, у закладах вищої освіти</w:t>
            </w:r>
          </w:p>
        </w:tc>
        <w:tc>
          <w:tcPr>
            <w:tcW w:w="515" w:type="pct"/>
            <w:hideMark/>
          </w:tcPr>
          <w:p w:rsidR="004F4704" w:rsidRPr="00580125" w:rsidRDefault="004F4704" w:rsidP="00006FC3">
            <w:pPr>
              <w:pStyle w:val="a5"/>
              <w:widowControl w:val="0"/>
              <w:spacing w:before="60"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spacing w:before="60" w:line="228" w:lineRule="auto"/>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spacing w:before="60"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 xml:space="preserve">громадські об’єднання та міжнародні організації (за згодою) </w:t>
            </w:r>
          </w:p>
        </w:tc>
      </w:tr>
      <w:tr w:rsidR="004F4704" w:rsidRPr="00580125" w:rsidTr="00006FC3">
        <w:trPr>
          <w:trHeight w:val="20"/>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pStyle w:val="a5"/>
              <w:widowControl w:val="0"/>
              <w:spacing w:before="6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2) проведення антидискримінаційної експертизи у закладах вищої освіти </w:t>
            </w:r>
          </w:p>
        </w:tc>
        <w:tc>
          <w:tcPr>
            <w:tcW w:w="515" w:type="pct"/>
            <w:hideMark/>
          </w:tcPr>
          <w:p w:rsidR="004F4704" w:rsidRPr="00580125" w:rsidRDefault="004F4704" w:rsidP="00006FC3">
            <w:pPr>
              <w:pStyle w:val="a5"/>
              <w:widowControl w:val="0"/>
              <w:spacing w:before="60"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widowControl w:val="0"/>
              <w:spacing w:before="60" w:line="228" w:lineRule="auto"/>
              <w:ind w:right="-113"/>
              <w:rPr>
                <w:rFonts w:ascii="Times New Roman" w:hAnsi="Times New Roman"/>
                <w:kern w:val="2"/>
                <w:sz w:val="24"/>
                <w:szCs w:val="24"/>
              </w:rPr>
            </w:pPr>
            <w:r w:rsidRPr="00580125">
              <w:rPr>
                <w:rFonts w:ascii="Times New Roman" w:hAnsi="Times New Roman"/>
                <w:kern w:val="2"/>
                <w:sz w:val="24"/>
                <w:szCs w:val="24"/>
              </w:rPr>
              <w:t>забезпечено рівні права та можливості жінок і чоловіків у закладах вищої освіти</w:t>
            </w:r>
          </w:p>
        </w:tc>
        <w:tc>
          <w:tcPr>
            <w:tcW w:w="936" w:type="pct"/>
            <w:hideMark/>
          </w:tcPr>
          <w:p w:rsidR="004F4704" w:rsidRPr="00580125" w:rsidRDefault="00580125" w:rsidP="00006FC3">
            <w:pPr>
              <w:widowControl w:val="0"/>
              <w:spacing w:before="60" w:line="228" w:lineRule="auto"/>
              <w:ind w:right="-113" w:firstLine="284"/>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spacing w:before="60" w:line="228" w:lineRule="auto"/>
              <w:ind w:right="-113" w:firstLine="0"/>
              <w:rPr>
                <w:rFonts w:ascii="Times New Roman" w:hAnsi="Times New Roman"/>
                <w:kern w:val="2"/>
                <w:sz w:val="24"/>
                <w:szCs w:val="24"/>
              </w:rPr>
            </w:pPr>
            <w:r w:rsidRPr="00580125">
              <w:rPr>
                <w:rFonts w:ascii="Times New Roman" w:hAnsi="Times New Roman"/>
                <w:kern w:val="2"/>
                <w:sz w:val="24"/>
                <w:szCs w:val="24"/>
              </w:rPr>
              <w:t>53. Проведення на регіональному рівні експериментальної роботи з впровадження принципу забезпечення рівних прав та можливостей жінок і чоловіків у закладах дошкільної та загальної середньої освіти на базі інститутів післядипломної педагогічної освіти</w:t>
            </w:r>
          </w:p>
        </w:tc>
        <w:tc>
          <w:tcPr>
            <w:tcW w:w="1351" w:type="pct"/>
            <w:hideMark/>
          </w:tcPr>
          <w:p w:rsidR="004F4704" w:rsidRPr="00580125" w:rsidRDefault="004F4704" w:rsidP="00006FC3">
            <w:pPr>
              <w:pStyle w:val="a5"/>
              <w:widowControl w:val="0"/>
              <w:spacing w:before="60" w:line="228" w:lineRule="auto"/>
              <w:ind w:right="-113" w:firstLine="0"/>
              <w:rPr>
                <w:rFonts w:ascii="Times New Roman" w:hAnsi="Times New Roman"/>
                <w:kern w:val="2"/>
                <w:sz w:val="24"/>
                <w:szCs w:val="24"/>
              </w:rPr>
            </w:pPr>
            <w:r w:rsidRPr="00580125">
              <w:rPr>
                <w:rFonts w:ascii="Times New Roman" w:hAnsi="Times New Roman"/>
                <w:kern w:val="2"/>
                <w:sz w:val="24"/>
                <w:szCs w:val="24"/>
              </w:rPr>
              <w:t>розроблення та впровадження експериментальних розробок щодо впровадження підходів із забезпечення рівних прав та можливостей жінок і чоловіків у закладах дошкільної та загальної середньої освіти на базі інститутів післядипломної педагогічної освіти</w:t>
            </w:r>
          </w:p>
        </w:tc>
        <w:tc>
          <w:tcPr>
            <w:tcW w:w="515" w:type="pct"/>
            <w:hideMark/>
          </w:tcPr>
          <w:p w:rsidR="004F4704" w:rsidRPr="00580125" w:rsidRDefault="00580125" w:rsidP="00006FC3">
            <w:pPr>
              <w:pStyle w:val="a5"/>
              <w:widowControl w:val="0"/>
              <w:spacing w:before="60"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spacing w:before="60" w:line="228" w:lineRule="auto"/>
              <w:ind w:right="-113" w:firstLine="0"/>
              <w:rPr>
                <w:rFonts w:ascii="Times New Roman" w:hAnsi="Times New Roman"/>
                <w:kern w:val="2"/>
                <w:sz w:val="24"/>
                <w:szCs w:val="24"/>
              </w:rPr>
            </w:pPr>
            <w:r w:rsidRPr="00580125">
              <w:rPr>
                <w:rFonts w:ascii="Times New Roman" w:hAnsi="Times New Roman"/>
                <w:kern w:val="2"/>
                <w:sz w:val="24"/>
                <w:szCs w:val="24"/>
              </w:rPr>
              <w:t>посилено спроможність стейкхолдерів освітнього процесу щодо впровадження підходів із забезпечення рівних прав та можливостей жінок і чоловіків у закладах дошкільної та загальної середньої освіти на базі інститутів післядипломної педагогічної освіти</w:t>
            </w:r>
          </w:p>
        </w:tc>
        <w:tc>
          <w:tcPr>
            <w:tcW w:w="936" w:type="pct"/>
            <w:hideMark/>
          </w:tcPr>
          <w:p w:rsidR="004F4704" w:rsidRPr="00580125" w:rsidRDefault="004F4704" w:rsidP="00006FC3">
            <w:pPr>
              <w:pStyle w:val="a5"/>
              <w:widowControl w:val="0"/>
              <w:spacing w:before="60"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Національна академія педагогічних наук (за згодою)</w:t>
            </w:r>
            <w:r w:rsidRPr="00580125">
              <w:rPr>
                <w:rFonts w:ascii="Times New Roman" w:hAnsi="Times New Roman"/>
                <w:kern w:val="2"/>
                <w:sz w:val="24"/>
                <w:szCs w:val="24"/>
              </w:rPr>
              <w:br/>
              <w:t>заклади освіти</w:t>
            </w:r>
          </w:p>
        </w:tc>
      </w:tr>
      <w:tr w:rsidR="004F4704" w:rsidRPr="00580125" w:rsidTr="00006FC3">
        <w:trPr>
          <w:trHeight w:val="20"/>
        </w:trPr>
        <w:tc>
          <w:tcPr>
            <w:tcW w:w="1229" w:type="pct"/>
            <w:vMerge w:val="restar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54. Розроблення для закладів освіти навчальних програм із забезпечення рівних прав та можливостей жінок і чоловіків, консолідація зусиль фахівчинь і фахівців як у закладах освіти, так і за їх межами (забезпечення </w:t>
            </w:r>
            <w:r w:rsidRPr="00580125">
              <w:rPr>
                <w:rFonts w:ascii="Times New Roman" w:hAnsi="Times New Roman"/>
                <w:kern w:val="2"/>
                <w:sz w:val="24"/>
                <w:szCs w:val="24"/>
              </w:rPr>
              <w:lastRenderedPageBreak/>
              <w:t>взаємодії закладів освіти різного рівня з батьками, родиною, громадськістю)</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1) розроблення та запровадження програм бакалаврського, магістерського та наукового рівня з різних галузей знань за спеціалізацією із забезпечення рівних прав та можливостей жінок і чоловіків</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розроблено та запроваджено програми бакалаврського, магістерського та наукового рівня з різних галузей знань за спеціалізацією</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Національна академія педагогічних наук (за згодою)</w:t>
            </w:r>
            <w:r w:rsidRPr="00580125">
              <w:rPr>
                <w:rFonts w:ascii="Times New Roman" w:hAnsi="Times New Roman"/>
                <w:kern w:val="2"/>
                <w:sz w:val="24"/>
                <w:szCs w:val="24"/>
              </w:rPr>
              <w:br/>
              <w:t xml:space="preserve">заклади освіти </w:t>
            </w:r>
          </w:p>
        </w:tc>
      </w:tr>
      <w:tr w:rsidR="004F4704" w:rsidRPr="00580125" w:rsidTr="00006FC3">
        <w:trPr>
          <w:trHeight w:val="20"/>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2) проведення моніторингу кількості здобувачок і здобувачів вищої освіти, які проходять навчання за програмами з питань забезпечення рівних прав та можливостей жінок і чоловіків</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vAlign w:val="center"/>
          </w:tcPr>
          <w:p w:rsidR="004F4704" w:rsidRPr="00580125" w:rsidRDefault="004F4704" w:rsidP="00580125">
            <w:pPr>
              <w:widowControl w:val="0"/>
              <w:spacing w:before="60"/>
              <w:ind w:right="-113" w:firstLine="34"/>
              <w:rPr>
                <w:rFonts w:ascii="Times New Roman" w:hAnsi="Times New Roman"/>
                <w:kern w:val="2"/>
                <w:sz w:val="24"/>
                <w:szCs w:val="24"/>
              </w:rPr>
            </w:pPr>
            <w:r w:rsidRPr="00580125">
              <w:rPr>
                <w:rFonts w:ascii="Times New Roman" w:hAnsi="Times New Roman"/>
                <w:kern w:val="2"/>
                <w:sz w:val="24"/>
                <w:szCs w:val="24"/>
              </w:rPr>
              <w:t>посилено здатність фахівчинь/фахівців у викладанні освітніх програм, збільшено кількість здобувачок/ здобувачів вищої освіти, збільшено кількість захищених дисертацій бакалаврського та магістерського рівня</w:t>
            </w:r>
          </w:p>
        </w:tc>
        <w:tc>
          <w:tcPr>
            <w:tcW w:w="936" w:type="pct"/>
            <w:hideMark/>
          </w:tcPr>
          <w:p w:rsidR="004F4704" w:rsidRPr="00580125" w:rsidRDefault="00580125" w:rsidP="00006FC3">
            <w:pPr>
              <w:widowControl w:val="0"/>
              <w:spacing w:before="120"/>
              <w:ind w:right="-113" w:firstLine="284"/>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55. Оприлюднення на </w:t>
            </w:r>
            <w:r w:rsidRPr="00580125">
              <w:rPr>
                <w:rFonts w:ascii="Times New Roman" w:hAnsi="Times New Roman"/>
                <w:kern w:val="2"/>
                <w:sz w:val="24"/>
                <w:szCs w:val="24"/>
              </w:rPr>
              <w:br/>
              <w:t>веб-сайтах закладів освіти навчальних програм із забезпечення рівних прав та можливостей жінок і чоловіків для інформаційно-методичної підтримки впровадження принципу забезпечення рівних прав та можливостей жінок і чоловіків у сфері освіти</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підготовка та розміщення інформаційних повідомлень щодо навчальних програм з питань забезпечення рівних прав та можливостей жінок і чоловіків для інформаційно-методичної підтримки впровадження у сфері освіти підходів забезпечення рівних прав та можливостей жінок і чоловіків </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Національна академія педагогічних наук (за згодою)</w:t>
            </w:r>
            <w:r w:rsidRPr="00580125">
              <w:rPr>
                <w:rFonts w:ascii="Times New Roman" w:hAnsi="Times New Roman"/>
                <w:kern w:val="2"/>
                <w:sz w:val="24"/>
                <w:szCs w:val="24"/>
              </w:rPr>
              <w:br/>
              <w:t xml:space="preserve">заклади освіти </w:t>
            </w:r>
          </w:p>
        </w:tc>
      </w:tr>
      <w:tr w:rsidR="004F4704" w:rsidRPr="00580125" w:rsidTr="00006FC3">
        <w:trPr>
          <w:trHeight w:val="20"/>
        </w:trPr>
        <w:tc>
          <w:tcPr>
            <w:tcW w:w="1229" w:type="pct"/>
            <w:vMerge w:val="restar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56. Включення до електронних репозитаріїв закладів вищої освіти окремого розділу “Дослідження проблем забезпечення рівних прав та можливостей жінок і чоловіків”; формування сучасного кадрового потенціалу закладів освіти, здатного забезпечити впровадження принципу забезпечення рівних прав та можливостей жінок і чоловіків шляхом включення до програм </w:t>
            </w:r>
            <w:r w:rsidRPr="00580125">
              <w:rPr>
                <w:rFonts w:ascii="Times New Roman" w:hAnsi="Times New Roman"/>
                <w:kern w:val="2"/>
                <w:sz w:val="24"/>
                <w:szCs w:val="24"/>
              </w:rPr>
              <w:lastRenderedPageBreak/>
              <w:t>післядипломної освіти навчальних курсів з питань забезпечення рівних прав та можливостей жінок і чоловіків</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1) проведення моніторингу електронних репозитаріїв щодо наявності окремого розділу “Дослідження проблем забезпечення рівних прав та можливостей жінок і чоловіків”</w:t>
            </w:r>
          </w:p>
        </w:tc>
        <w:tc>
          <w:tcPr>
            <w:tcW w:w="515"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забезпечено наявність</w:t>
            </w:r>
            <w:r w:rsidRPr="00580125">
              <w:rPr>
                <w:rFonts w:ascii="Times New Roman" w:hAnsi="Times New Roman"/>
                <w:kern w:val="2"/>
                <w:sz w:val="24"/>
                <w:szCs w:val="24"/>
              </w:rPr>
              <w:br/>
              <w:t>в електронних депозитаріях закладів вищої освіти окремого розділу</w:t>
            </w:r>
          </w:p>
        </w:tc>
        <w:tc>
          <w:tcPr>
            <w:tcW w:w="936"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2) розроблення і запровадження програм підвищення кваліфікації з питань забезпечення рівних прав та можливостей жінок і чоловіків</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(науково-педагогічних) працівниць/ працівників</w:t>
            </w:r>
          </w:p>
        </w:tc>
        <w:tc>
          <w:tcPr>
            <w:tcW w:w="936"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57. Підвищення кваліфікації педагогічних (науково-педагогічних) працівниць/ працівників за всіма спеціальностями з питань забезпечення рівних прав та можливостей жінок і чоловіків </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формування та актуалізація бази даних щодо програм підвищення кваліфікації з питань забезпечення рівних прав та можливостей жінок і чоловіків та поширення інформації про неї</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забезпечено широкий доступ до бази даних програм підвищення кваліфікації з питань забезпечення рівних прав та можливостей жінок і чоловіків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Національна академія педагогічних наук (за згодою)</w:t>
            </w:r>
            <w:r w:rsidRPr="00580125">
              <w:rPr>
                <w:rFonts w:ascii="Times New Roman" w:hAnsi="Times New Roman"/>
                <w:kern w:val="2"/>
                <w:sz w:val="24"/>
                <w:szCs w:val="24"/>
              </w:rPr>
              <w:br/>
              <w:t>обласні, Київська міська держадміністрації</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58. Забезпечення відповідності освітньої діяльності з питань забезпечення рівних прав та можливостей жінок і чоловіків таким вимогам (одній з них), як наявність у педагогічних (науково-педагогічних) працівниць/ працівників закладів освіти та/або суб’єктів підвищення кваліфікації практичного досвіду проведення гендерного аудиту та/або аналізу, антидискримінаційної експертизи; досвіду консультування центральних та місцевих органів виконавчої влади з питань забезпечення рівних прав та можливостей жінок і чоловіків; досвіду участі у міжнародних проектах та/або організаціях, діяльність яких пов’язана з розв’язанням проблем </w:t>
            </w:r>
            <w:r w:rsidRPr="00580125">
              <w:rPr>
                <w:rFonts w:ascii="Times New Roman" w:hAnsi="Times New Roman"/>
                <w:kern w:val="2"/>
                <w:sz w:val="24"/>
                <w:szCs w:val="24"/>
              </w:rPr>
              <w:lastRenderedPageBreak/>
              <w:t>дискримінації за ознакою статі</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включення до ліцензійних вимог забезпечення відповідності освітньої діяльності принципу забезпечення рівних прав та можливостей жінок і чоловіків </w:t>
            </w:r>
          </w:p>
        </w:tc>
        <w:tc>
          <w:tcPr>
            <w:tcW w:w="515"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підвищено спроможність педагогічних (науково-педагогічних) працівниць/ працівників закладів освіти та/або суб’єктів підвищення кваліфікації щодо проведення гендерного аудиту та/або аналізу, антидискримінаційної експертизи, консультування центральних та місцевих органів виконавчої влади з питань рівних прав та можливостей жінок і чоловіків, участі у міжнародних проектах та/або організаціях, діяльність яких пов’язана з розв’язання проблем </w:t>
            </w:r>
            <w:r w:rsidRPr="00580125">
              <w:rPr>
                <w:rFonts w:ascii="Times New Roman" w:hAnsi="Times New Roman"/>
                <w:kern w:val="2"/>
                <w:sz w:val="24"/>
                <w:szCs w:val="24"/>
              </w:rPr>
              <w:lastRenderedPageBreak/>
              <w:t>дискримінації за ознакою статі</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МОН</w:t>
            </w:r>
            <w:r w:rsidRPr="00580125">
              <w:rPr>
                <w:rFonts w:ascii="Times New Roman" w:hAnsi="Times New Roman"/>
                <w:kern w:val="2"/>
                <w:sz w:val="24"/>
                <w:szCs w:val="24"/>
              </w:rPr>
              <w:br/>
              <w:t>Національна академія педагогічних наук (за згодою)</w:t>
            </w:r>
            <w:r w:rsidRPr="00580125">
              <w:rPr>
                <w:rFonts w:ascii="Times New Roman" w:hAnsi="Times New Roman"/>
                <w:kern w:val="2"/>
                <w:sz w:val="24"/>
                <w:szCs w:val="24"/>
              </w:rPr>
              <w:br/>
              <w:t xml:space="preserve">заклади освіти, зокрема післядипломної педагогічної освіти громадські об’єднання та міжнародні організації (за згодою) </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59. Виконання через угоди із зарубіжними закладами вищої освіти програм сприяння академічній мобільності студенток/студентів, які долучені до розроблення навчальних програм із забезпечення рівних прав та можливостей жінок і чоловіків</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укладення угод (договорів) про наукову співпрацю вітчизняних закладів освіти із зарубіжними закладами освіти щодо спільної наукової роботи з проведення досліджень з проблем забезпечення рівних прав та можливостей жінок і чоловіків</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tcPr>
          <w:p w:rsidR="004F4704" w:rsidRPr="00580125" w:rsidRDefault="004F4704" w:rsidP="00580125">
            <w:pPr>
              <w:pStyle w:val="a5"/>
              <w:widowControl w:val="0"/>
              <w:ind w:right="-113" w:firstLine="0"/>
              <w:rPr>
                <w:rFonts w:ascii="Times New Roman" w:hAnsi="Times New Roman"/>
                <w:kern w:val="2"/>
                <w:sz w:val="24"/>
                <w:szCs w:val="24"/>
                <w:lang w:val="ru-RU"/>
              </w:rPr>
            </w:pPr>
            <w:r w:rsidRPr="00580125">
              <w:rPr>
                <w:rFonts w:ascii="Times New Roman" w:hAnsi="Times New Roman"/>
                <w:kern w:val="2"/>
                <w:sz w:val="24"/>
                <w:szCs w:val="24"/>
              </w:rPr>
              <w:t>посилено спроможність студенток/студентів щодо участі в розробленні навчальних програм з питань забезпечення рівних прав та можливостей жінок і чоловіків та створено умови для академічної мобільності</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Національна академія педагогічних наук (за згодою)</w:t>
            </w:r>
            <w:r w:rsidRPr="00580125">
              <w:rPr>
                <w:rFonts w:ascii="Times New Roman" w:hAnsi="Times New Roman"/>
                <w:kern w:val="2"/>
                <w:sz w:val="24"/>
                <w:szCs w:val="24"/>
              </w:rPr>
              <w:br/>
              <w:t>заклади освіти, зокрема післядипломної педагогічної освіти</w:t>
            </w:r>
            <w:r w:rsidRPr="00580125">
              <w:rPr>
                <w:rFonts w:ascii="Times New Roman" w:hAnsi="Times New Roman"/>
                <w:kern w:val="2"/>
                <w:sz w:val="24"/>
                <w:szCs w:val="24"/>
              </w:rPr>
              <w:br/>
              <w:t xml:space="preserve">громадські об’єднання та міжнародні організації (за згодою) </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60. Організація коротко- та довгострокового навчання та стажування студенток/студентів, аспіранток/аспірантів, докторанток/докторантів </w:t>
            </w:r>
            <w:r w:rsidRPr="00580125">
              <w:rPr>
                <w:rFonts w:ascii="Times New Roman" w:hAnsi="Times New Roman"/>
                <w:kern w:val="2"/>
                <w:sz w:val="24"/>
                <w:szCs w:val="24"/>
              </w:rPr>
              <w:br/>
              <w:t>за науковими програмами (літні школи, семінари тощо) із забезпечення рівних прав та можливостей жінок і чоловіків; оприлюднення науково-теоретичного доробку вітчизняних вчених у сфері освіти з питань забезпечення рівних прав та можливостей жінок і чоловіків, створення системи наукової комунікації та кооперації</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організація коротко- та довгострокового навчання та стажування студенток/студентів, аспіранток/аспірантів, докторанток/докторантів за науковими програмами (літні школи, семінари тощо) із забезпечення рівних прав та можливостей жінок і чоловіків</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посилено спроможність студенток/студентів, аспіранток/аспірантів, докторанток/ докторантів щодо участі в стажуванні, наукових програмах (літніх школах, семінарах тощо) із забезпечення рівних прав та можливостей жінок і чоловіків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Національна академія педагогічних наук (за згодою)</w:t>
            </w:r>
            <w:r w:rsidRPr="00580125">
              <w:rPr>
                <w:rFonts w:ascii="Times New Roman" w:hAnsi="Times New Roman"/>
                <w:kern w:val="2"/>
                <w:sz w:val="24"/>
                <w:szCs w:val="24"/>
              </w:rPr>
              <w:br/>
              <w:t>заклади освіти, зокрема післядипломної педагогічної освіти</w:t>
            </w:r>
            <w:r w:rsidRPr="00580125">
              <w:rPr>
                <w:rFonts w:ascii="Times New Roman" w:hAnsi="Times New Roman"/>
                <w:kern w:val="2"/>
                <w:sz w:val="24"/>
                <w:szCs w:val="24"/>
              </w:rPr>
              <w:br/>
              <w:t xml:space="preserve">громадські об’єднання та міжнародні організації (за згодою) </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61. Організація </w:t>
            </w:r>
            <w:r w:rsidRPr="00580125">
              <w:rPr>
                <w:rFonts w:ascii="Times New Roman" w:hAnsi="Times New Roman"/>
                <w:sz w:val="24"/>
                <w:szCs w:val="24"/>
              </w:rPr>
              <w:t xml:space="preserve">та проведення наукових заходів, виконання наукових досліджень з питань </w:t>
            </w:r>
            <w:r w:rsidRPr="00580125">
              <w:rPr>
                <w:rFonts w:ascii="Times New Roman" w:hAnsi="Times New Roman"/>
                <w:sz w:val="24"/>
                <w:szCs w:val="24"/>
              </w:rPr>
              <w:lastRenderedPageBreak/>
              <w:t>забезпечення рівних прав та можливостей жінок і чоловіків</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організація та проведення міжінституційних науково-дослідних семінарів для проведення спільних </w:t>
            </w:r>
            <w:r w:rsidRPr="00580125">
              <w:rPr>
                <w:rFonts w:ascii="Times New Roman" w:hAnsi="Times New Roman"/>
                <w:kern w:val="2"/>
                <w:sz w:val="24"/>
                <w:szCs w:val="24"/>
              </w:rPr>
              <w:lastRenderedPageBreak/>
              <w:t xml:space="preserve">наукових досліджень </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lastRenderedPageBreak/>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w:t>
            </w:r>
            <w:r w:rsidRPr="00580125">
              <w:rPr>
                <w:rFonts w:ascii="Times New Roman" w:hAnsi="Times New Roman"/>
                <w:kern w:val="2"/>
                <w:sz w:val="24"/>
                <w:szCs w:val="24"/>
              </w:rPr>
              <w:lastRenderedPageBreak/>
              <w:t>педагогічних) працівниць/ працівників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 xml:space="preserve">громадські об’єднання та </w:t>
            </w:r>
            <w:r w:rsidRPr="00580125">
              <w:rPr>
                <w:rFonts w:ascii="Times New Roman" w:hAnsi="Times New Roman"/>
                <w:kern w:val="2"/>
                <w:sz w:val="24"/>
                <w:szCs w:val="24"/>
              </w:rPr>
              <w:lastRenderedPageBreak/>
              <w:t>міжнародні організації (за згодою)</w:t>
            </w:r>
          </w:p>
        </w:tc>
      </w:tr>
      <w:tr w:rsidR="004F4704" w:rsidRPr="00580125" w:rsidTr="00006FC3">
        <w:trPr>
          <w:trHeight w:val="20"/>
        </w:trPr>
        <w:tc>
          <w:tcPr>
            <w:tcW w:w="1229" w:type="pct"/>
            <w:vMerge w:val="restar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62. Створення широкої мережі дослідницьких центрів із забезпечення рівних прав та можливостей жінок і чоловіків та фахового експертного середовища із запровадженням інститутів освіти рівних прав та можливостей жінок і чоловіків на базі закладів вищої освіти, у тому числі з метою сприяння розширенню доступу до навчання впродовж життя, насамперед для жінок у сільській місцевості, жінок старшого віку, інших категорій, які зазнають множинної дискримінації</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1) створення та актуалізація бази даних про діючі центри досліджень з питань забезпечення рівних прав та можливостей жінок і чоловіків (у тому числі університетських центрів, незалежних аналітичних центрів, громадських організацій, які проводять дослідження), зокрема на базі структурних підрозділів закладів вищої освіти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забезпечено широкий доступ до бази даних центрів досліджень та захищених дисертацій з питань забезпечення рівних прав та можливостей жінок і чоловіків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r>
          </w:p>
        </w:tc>
      </w:tr>
      <w:tr w:rsidR="004F4704" w:rsidRPr="00580125" w:rsidTr="00006FC3">
        <w:trPr>
          <w:trHeight w:val="20"/>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2) створення та актуалізація бази даних про захищені дисертації з питань забезпечення рівних прав та можливостей жінок і чоловіків</w:t>
            </w:r>
          </w:p>
        </w:tc>
        <w:tc>
          <w:tcPr>
            <w:tcW w:w="515" w:type="pct"/>
            <w:hideMark/>
          </w:tcPr>
          <w:p w:rsidR="004F4704" w:rsidRPr="00580125" w:rsidRDefault="00580125" w:rsidP="00006FC3">
            <w:pPr>
              <w:widowControl w:val="0"/>
              <w:spacing w:before="120"/>
              <w:ind w:right="-113"/>
              <w:jc w:val="center"/>
              <w:rPr>
                <w:rFonts w:ascii="Times New Roman" w:hAnsi="Times New Roman"/>
                <w:kern w:val="2"/>
                <w:sz w:val="24"/>
                <w:szCs w:val="24"/>
                <w:lang w:val="en-US"/>
              </w:rPr>
            </w:pPr>
            <w:r>
              <w:rPr>
                <w:rFonts w:ascii="Times New Roman" w:hAnsi="Times New Roman"/>
                <w:kern w:val="2"/>
                <w:sz w:val="24"/>
                <w:szCs w:val="24"/>
                <w:lang w:val="en-US"/>
              </w:rPr>
              <w:t>-</w:t>
            </w:r>
            <w:r w:rsidR="004F4704" w:rsidRPr="00580125">
              <w:rPr>
                <w:rFonts w:ascii="Times New Roman" w:hAnsi="Times New Roman"/>
                <w:kern w:val="2"/>
                <w:sz w:val="24"/>
                <w:szCs w:val="24"/>
                <w:lang w:val="en-US"/>
              </w:rPr>
              <w:t>“</w:t>
            </w:r>
            <w:r>
              <w:rPr>
                <w:rFonts w:ascii="Times New Roman" w:hAnsi="Times New Roman"/>
                <w:kern w:val="2"/>
                <w:sz w:val="24"/>
                <w:szCs w:val="24"/>
                <w:lang w:val="en-US"/>
              </w:rPr>
              <w:t>-</w:t>
            </w:r>
          </w:p>
        </w:tc>
        <w:tc>
          <w:tcPr>
            <w:tcW w:w="969" w:type="pct"/>
            <w:hideMark/>
          </w:tcPr>
          <w:p w:rsidR="004F4704" w:rsidRPr="00580125" w:rsidRDefault="004F4704" w:rsidP="00006FC3">
            <w:pPr>
              <w:widowControl w:val="0"/>
              <w:spacing w:before="120"/>
              <w:ind w:right="-113"/>
              <w:rPr>
                <w:rFonts w:ascii="Times New Roman" w:hAnsi="Times New Roman"/>
                <w:kern w:val="2"/>
                <w:sz w:val="24"/>
                <w:szCs w:val="24"/>
                <w:lang w:val="ru-RU"/>
              </w:rPr>
            </w:pPr>
            <w:r w:rsidRPr="00580125">
              <w:rPr>
                <w:rFonts w:ascii="Times New Roman" w:hAnsi="Times New Roman"/>
                <w:kern w:val="2"/>
                <w:sz w:val="24"/>
                <w:szCs w:val="24"/>
              </w:rPr>
              <w:t>посилено спроможність дослідницьких центрів з питань забезпечення рівних прав та можливостей жінок і чоловіків</w:t>
            </w:r>
          </w:p>
        </w:tc>
        <w:tc>
          <w:tcPr>
            <w:tcW w:w="936" w:type="pct"/>
            <w:hideMark/>
          </w:tcPr>
          <w:p w:rsidR="004F4704" w:rsidRPr="00580125" w:rsidRDefault="00580125" w:rsidP="00006FC3">
            <w:pPr>
              <w:widowControl w:val="0"/>
              <w:spacing w:before="120"/>
              <w:ind w:right="-113"/>
              <w:jc w:val="center"/>
              <w:rPr>
                <w:rFonts w:ascii="Times New Roman" w:hAnsi="Times New Roman"/>
                <w:kern w:val="2"/>
                <w:sz w:val="24"/>
                <w:szCs w:val="24"/>
                <w:lang w:val="en-US"/>
              </w:rPr>
            </w:pPr>
            <w:r>
              <w:rPr>
                <w:rFonts w:ascii="Times New Roman" w:hAnsi="Times New Roman"/>
                <w:kern w:val="2"/>
                <w:sz w:val="24"/>
                <w:szCs w:val="24"/>
                <w:lang w:val="en-US"/>
              </w:rPr>
              <w:t>-</w:t>
            </w:r>
            <w:r w:rsidR="004F4704" w:rsidRPr="00580125">
              <w:rPr>
                <w:rFonts w:ascii="Times New Roman" w:hAnsi="Times New Roman"/>
                <w:kern w:val="2"/>
                <w:sz w:val="24"/>
                <w:szCs w:val="24"/>
                <w:lang w:val="en-US"/>
              </w:rPr>
              <w:t>“</w:t>
            </w:r>
            <w:r>
              <w:rPr>
                <w:rFonts w:ascii="Times New Roman" w:hAnsi="Times New Roman"/>
                <w:kern w:val="2"/>
                <w:sz w:val="24"/>
                <w:szCs w:val="24"/>
                <w:lang w:val="en-US"/>
              </w:rPr>
              <w:t>-</w:t>
            </w:r>
          </w:p>
        </w:tc>
      </w:tr>
      <w:tr w:rsidR="004F4704" w:rsidRPr="00580125" w:rsidTr="00006FC3">
        <w:trPr>
          <w:trHeight w:val="20"/>
        </w:trPr>
        <w:tc>
          <w:tcPr>
            <w:tcW w:w="1229" w:type="pct"/>
            <w:vMerge w:val="restar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63. Проведення науково-практичної експертизи наявних та підтримка нових науково-дослідницьких програм, що виконуються за кошти державного бюджету (пріоритетний тематичний напрям </w:t>
            </w:r>
            <w:r w:rsidRPr="00580125">
              <w:rPr>
                <w:rFonts w:ascii="Times New Roman" w:hAnsi="Times New Roman"/>
                <w:kern w:val="2"/>
                <w:sz w:val="24"/>
                <w:szCs w:val="24"/>
                <w:lang w:val="ru-RU"/>
              </w:rPr>
              <w:t>“</w:t>
            </w:r>
            <w:r w:rsidRPr="00580125">
              <w:rPr>
                <w:rFonts w:ascii="Times New Roman" w:hAnsi="Times New Roman"/>
                <w:kern w:val="2"/>
                <w:sz w:val="24"/>
                <w:szCs w:val="24"/>
              </w:rPr>
              <w:t xml:space="preserve">фундаментальні дослідження з актуальних </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1) розроблення положення про проведення антидискримінаційної експертизи науково-дослідницьких програм, що виконуються за кошти державного бюджету</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vMerge w:val="restar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створено умови для виконання дослідницьких програм за кошти державного бюджету з урахуванням тематики забезпечення рівних прав та можливостей жінок і чоловіків</w:t>
            </w:r>
          </w:p>
        </w:tc>
        <w:tc>
          <w:tcPr>
            <w:tcW w:w="936" w:type="pct"/>
            <w:vMerge w:val="restart"/>
            <w:hideMark/>
          </w:tcPr>
          <w:p w:rsidR="004F4704" w:rsidRPr="00580125" w:rsidRDefault="00580125" w:rsidP="00006FC3">
            <w:pPr>
              <w:widowControl w:val="0"/>
              <w:spacing w:before="120"/>
              <w:ind w:right="-113"/>
              <w:jc w:val="center"/>
              <w:rPr>
                <w:rFonts w:ascii="Times New Roman" w:hAnsi="Times New Roman"/>
                <w:kern w:val="2"/>
                <w:sz w:val="24"/>
                <w:szCs w:val="24"/>
                <w:lang w:val="en-US"/>
              </w:rPr>
            </w:pPr>
            <w:r>
              <w:rPr>
                <w:rFonts w:ascii="Times New Roman" w:hAnsi="Times New Roman"/>
                <w:kern w:val="2"/>
                <w:sz w:val="24"/>
                <w:szCs w:val="24"/>
                <w:lang w:val="en-US"/>
              </w:rPr>
              <w:t>-</w:t>
            </w:r>
            <w:r w:rsidR="004F4704" w:rsidRPr="00580125">
              <w:rPr>
                <w:rFonts w:ascii="Times New Roman" w:hAnsi="Times New Roman"/>
                <w:kern w:val="2"/>
                <w:sz w:val="24"/>
                <w:szCs w:val="24"/>
                <w:lang w:val="en-US"/>
              </w:rPr>
              <w:t>“</w:t>
            </w:r>
            <w:r>
              <w:rPr>
                <w:rFonts w:ascii="Times New Roman" w:hAnsi="Times New Roman"/>
                <w:kern w:val="2"/>
                <w:sz w:val="24"/>
                <w:szCs w:val="24"/>
                <w:lang w:val="en-US"/>
              </w:rPr>
              <w:t>-</w:t>
            </w:r>
          </w:p>
        </w:tc>
      </w:tr>
      <w:tr w:rsidR="004F4704" w:rsidRPr="00580125" w:rsidTr="00006FC3">
        <w:trPr>
          <w:trHeight w:val="20"/>
        </w:trPr>
        <w:tc>
          <w:tcPr>
            <w:tcW w:w="0" w:type="auto"/>
            <w:vMerge/>
            <w:vAlign w:val="center"/>
            <w:hideMark/>
          </w:tcPr>
          <w:p w:rsidR="004F4704" w:rsidRPr="00580125" w:rsidRDefault="004F4704" w:rsidP="00006FC3">
            <w:pPr>
              <w:rPr>
                <w:rFonts w:ascii="Times New Roman" w:hAnsi="Times New Roman"/>
                <w:kern w:val="2"/>
                <w:sz w:val="24"/>
                <w:szCs w:val="24"/>
              </w:rPr>
            </w:pPr>
          </w:p>
        </w:tc>
        <w:tc>
          <w:tcPr>
            <w:tcW w:w="1351" w:type="pct"/>
            <w:hideMark/>
          </w:tcPr>
          <w:p w:rsidR="004F4704" w:rsidRPr="00580125" w:rsidRDefault="004F4704" w:rsidP="00006FC3">
            <w:pPr>
              <w:rPr>
                <w:rFonts w:ascii="Times New Roman" w:hAnsi="Times New Roman"/>
                <w:sz w:val="24"/>
                <w:szCs w:val="24"/>
                <w:lang w:eastAsia="uk-UA"/>
              </w:rPr>
            </w:pPr>
          </w:p>
        </w:tc>
        <w:tc>
          <w:tcPr>
            <w:tcW w:w="515" w:type="pct"/>
            <w:hideMark/>
          </w:tcPr>
          <w:p w:rsidR="004F4704" w:rsidRPr="00580125" w:rsidRDefault="004F4704" w:rsidP="00006FC3">
            <w:pPr>
              <w:rPr>
                <w:rFonts w:ascii="Times New Roman" w:hAnsi="Times New Roman"/>
                <w:sz w:val="24"/>
                <w:szCs w:val="24"/>
                <w:lang w:eastAsia="uk-UA"/>
              </w:rPr>
            </w:pPr>
          </w:p>
        </w:tc>
        <w:tc>
          <w:tcPr>
            <w:tcW w:w="0" w:type="auto"/>
            <w:vMerge/>
            <w:vAlign w:val="center"/>
            <w:hideMark/>
          </w:tcPr>
          <w:p w:rsidR="004F4704" w:rsidRPr="00580125" w:rsidRDefault="004F4704" w:rsidP="00006FC3">
            <w:pPr>
              <w:rPr>
                <w:rFonts w:ascii="Times New Roman" w:hAnsi="Times New Roman"/>
                <w:kern w:val="2"/>
                <w:sz w:val="24"/>
                <w:szCs w:val="24"/>
              </w:rPr>
            </w:pPr>
          </w:p>
        </w:tc>
        <w:tc>
          <w:tcPr>
            <w:tcW w:w="0" w:type="auto"/>
            <w:vMerge/>
            <w:vAlign w:val="center"/>
            <w:hideMark/>
          </w:tcPr>
          <w:p w:rsidR="004F4704" w:rsidRPr="00580125" w:rsidRDefault="004F4704" w:rsidP="00006FC3">
            <w:pPr>
              <w:rPr>
                <w:rFonts w:ascii="Times New Roman" w:hAnsi="Times New Roman"/>
                <w:kern w:val="2"/>
                <w:sz w:val="24"/>
                <w:szCs w:val="24"/>
              </w:rPr>
            </w:pPr>
          </w:p>
        </w:tc>
      </w:tr>
      <w:tr w:rsidR="004F4704" w:rsidRPr="00580125" w:rsidTr="00006FC3">
        <w:trPr>
          <w:trHeight w:val="20"/>
        </w:trPr>
        <w:tc>
          <w:tcPr>
            <w:tcW w:w="1229" w:type="pct"/>
            <w:hideMark/>
          </w:tcPr>
          <w:p w:rsidR="004F4704" w:rsidRPr="00580125" w:rsidRDefault="004F4704" w:rsidP="00006FC3">
            <w:pPr>
              <w:pStyle w:val="a5"/>
              <w:widowControl w:val="0"/>
              <w:spacing w:before="0" w:line="225" w:lineRule="auto"/>
              <w:ind w:right="-113" w:firstLine="0"/>
              <w:rPr>
                <w:rFonts w:ascii="Times New Roman" w:hAnsi="Times New Roman"/>
                <w:kern w:val="2"/>
                <w:sz w:val="24"/>
                <w:szCs w:val="24"/>
              </w:rPr>
            </w:pPr>
            <w:r w:rsidRPr="00580125">
              <w:rPr>
                <w:rFonts w:ascii="Times New Roman" w:hAnsi="Times New Roman"/>
                <w:kern w:val="2"/>
                <w:sz w:val="24"/>
                <w:szCs w:val="24"/>
              </w:rPr>
              <w:t>проблем суспільних та гуманітарних наук</w:t>
            </w:r>
            <w:r w:rsidRPr="00580125">
              <w:rPr>
                <w:rFonts w:ascii="Times New Roman" w:hAnsi="Times New Roman"/>
                <w:kern w:val="2"/>
                <w:sz w:val="24"/>
                <w:szCs w:val="24"/>
                <w:lang w:val="ru-RU"/>
              </w:rPr>
              <w:t>”</w:t>
            </w:r>
            <w:r w:rsidRPr="00580125">
              <w:rPr>
                <w:rFonts w:ascii="Times New Roman" w:hAnsi="Times New Roman"/>
                <w:kern w:val="2"/>
                <w:sz w:val="24"/>
                <w:szCs w:val="24"/>
              </w:rPr>
              <w:t>)</w:t>
            </w:r>
          </w:p>
        </w:tc>
        <w:tc>
          <w:tcPr>
            <w:tcW w:w="1351" w:type="pct"/>
            <w:hideMark/>
          </w:tcPr>
          <w:p w:rsidR="004F4704" w:rsidRPr="00580125" w:rsidRDefault="004F4704" w:rsidP="00006FC3">
            <w:pPr>
              <w:pStyle w:val="a5"/>
              <w:widowControl w:val="0"/>
              <w:spacing w:before="60" w:line="225" w:lineRule="auto"/>
              <w:ind w:right="-113" w:firstLine="0"/>
              <w:rPr>
                <w:rFonts w:ascii="Times New Roman" w:hAnsi="Times New Roman"/>
                <w:kern w:val="2"/>
                <w:sz w:val="24"/>
                <w:szCs w:val="24"/>
              </w:rPr>
            </w:pPr>
            <w:r w:rsidRPr="00580125">
              <w:rPr>
                <w:rFonts w:ascii="Times New Roman" w:hAnsi="Times New Roman"/>
                <w:kern w:val="2"/>
                <w:sz w:val="24"/>
                <w:szCs w:val="24"/>
              </w:rPr>
              <w:t>2) підготовка експертних висновків</w:t>
            </w:r>
          </w:p>
        </w:tc>
        <w:tc>
          <w:tcPr>
            <w:tcW w:w="515" w:type="pct"/>
            <w:hideMark/>
          </w:tcPr>
          <w:p w:rsidR="004F4704" w:rsidRPr="00580125" w:rsidRDefault="004F4704" w:rsidP="00006FC3">
            <w:pPr>
              <w:pStyle w:val="a5"/>
              <w:widowControl w:val="0"/>
              <w:spacing w:before="60" w:line="225"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spacing w:before="60" w:line="225" w:lineRule="auto"/>
              <w:ind w:right="-113" w:firstLine="0"/>
              <w:rPr>
                <w:rFonts w:ascii="Times New Roman" w:hAnsi="Times New Roman"/>
                <w:kern w:val="2"/>
                <w:sz w:val="24"/>
                <w:szCs w:val="24"/>
              </w:rPr>
            </w:pPr>
            <w:r w:rsidRPr="00580125">
              <w:rPr>
                <w:rFonts w:ascii="Times New Roman" w:hAnsi="Times New Roman"/>
                <w:kern w:val="2"/>
                <w:sz w:val="24"/>
                <w:szCs w:val="24"/>
              </w:rPr>
              <w:t>підотовлено експертні висновки</w:t>
            </w:r>
          </w:p>
        </w:tc>
        <w:tc>
          <w:tcPr>
            <w:tcW w:w="936" w:type="pct"/>
            <w:hideMark/>
          </w:tcPr>
          <w:p w:rsidR="004F4704" w:rsidRPr="00580125" w:rsidRDefault="004F4704" w:rsidP="00006FC3">
            <w:pPr>
              <w:pStyle w:val="a5"/>
              <w:widowControl w:val="0"/>
              <w:spacing w:before="60" w:line="225"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 xml:space="preserve">громадські об’єднання та міжнародні організації (за </w:t>
            </w:r>
            <w:r w:rsidRPr="00580125">
              <w:rPr>
                <w:rFonts w:ascii="Times New Roman" w:hAnsi="Times New Roman"/>
                <w:kern w:val="2"/>
                <w:sz w:val="24"/>
                <w:szCs w:val="24"/>
              </w:rPr>
              <w:lastRenderedPageBreak/>
              <w:t>згодою)</w:t>
            </w:r>
          </w:p>
        </w:tc>
      </w:tr>
      <w:tr w:rsidR="004F4704" w:rsidRPr="00580125" w:rsidTr="00006FC3">
        <w:trPr>
          <w:trHeight w:val="20"/>
        </w:trPr>
        <w:tc>
          <w:tcPr>
            <w:tcW w:w="1229" w:type="pct"/>
            <w:hideMark/>
          </w:tcPr>
          <w:p w:rsidR="004F4704" w:rsidRPr="00580125" w:rsidRDefault="004F4704" w:rsidP="00006FC3">
            <w:pPr>
              <w:pStyle w:val="a5"/>
              <w:widowControl w:val="0"/>
              <w:spacing w:before="60" w:line="225" w:lineRule="auto"/>
              <w:ind w:left="-70" w:right="-113" w:firstLine="0"/>
              <w:rPr>
                <w:rFonts w:ascii="Times New Roman" w:hAnsi="Times New Roman"/>
                <w:kern w:val="2"/>
                <w:sz w:val="24"/>
                <w:szCs w:val="24"/>
              </w:rPr>
            </w:pPr>
            <w:r w:rsidRPr="00580125">
              <w:rPr>
                <w:rFonts w:ascii="Times New Roman" w:hAnsi="Times New Roman"/>
                <w:kern w:val="2"/>
                <w:sz w:val="24"/>
                <w:szCs w:val="24"/>
              </w:rPr>
              <w:lastRenderedPageBreak/>
              <w:t>64. Започаткування та розповсюдження періодичних наукових та методичних видань з питань забезпечення рівних прав та можливостей жінок і чоловіків</w:t>
            </w:r>
          </w:p>
        </w:tc>
        <w:tc>
          <w:tcPr>
            <w:tcW w:w="1351" w:type="pct"/>
            <w:hideMark/>
          </w:tcPr>
          <w:p w:rsidR="004F4704" w:rsidRPr="00580125" w:rsidRDefault="004F4704" w:rsidP="00006FC3">
            <w:pPr>
              <w:pStyle w:val="a5"/>
              <w:widowControl w:val="0"/>
              <w:spacing w:before="60" w:line="225" w:lineRule="auto"/>
              <w:ind w:right="-113" w:firstLine="0"/>
              <w:rPr>
                <w:rFonts w:ascii="Times New Roman" w:hAnsi="Times New Roman"/>
                <w:kern w:val="2"/>
                <w:sz w:val="24"/>
                <w:szCs w:val="24"/>
              </w:rPr>
            </w:pPr>
            <w:r w:rsidRPr="00580125">
              <w:rPr>
                <w:rFonts w:ascii="Times New Roman" w:hAnsi="Times New Roman"/>
                <w:kern w:val="2"/>
                <w:sz w:val="24"/>
                <w:szCs w:val="24"/>
              </w:rPr>
              <w:t>започаткування та забезпечення видання періодичних наукових та науково-методичних видань з питань забезпечення рівних прав та можливостей жінок і чоловіків, включення їх до переліку фахових видань МОН категорій А та Б</w:t>
            </w:r>
          </w:p>
        </w:tc>
        <w:tc>
          <w:tcPr>
            <w:tcW w:w="515" w:type="pct"/>
            <w:hideMark/>
          </w:tcPr>
          <w:p w:rsidR="004F4704" w:rsidRPr="00580125" w:rsidRDefault="00580125" w:rsidP="00006FC3">
            <w:pPr>
              <w:pStyle w:val="a5"/>
              <w:widowControl w:val="0"/>
              <w:spacing w:before="60" w:line="225"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spacing w:before="60" w:line="225" w:lineRule="auto"/>
              <w:ind w:right="-113" w:firstLine="0"/>
              <w:rPr>
                <w:rFonts w:ascii="Times New Roman" w:hAnsi="Times New Roman"/>
                <w:kern w:val="2"/>
                <w:sz w:val="24"/>
                <w:szCs w:val="24"/>
              </w:rPr>
            </w:pPr>
            <w:r w:rsidRPr="00580125">
              <w:rPr>
                <w:rFonts w:ascii="Times New Roman" w:hAnsi="Times New Roman"/>
                <w:kern w:val="2"/>
                <w:sz w:val="24"/>
                <w:szCs w:val="24"/>
              </w:rPr>
              <w:t>забезпечено широкий доступ до періодичних наукових та науково-методичних матеріалів з питань забезпечення рівних прав та можливостей жінок і чоловіків, включено видання до переліку фахових видань МОН категорій А та Б</w:t>
            </w:r>
          </w:p>
        </w:tc>
        <w:tc>
          <w:tcPr>
            <w:tcW w:w="936" w:type="pct"/>
            <w:hideMark/>
          </w:tcPr>
          <w:p w:rsidR="004F4704" w:rsidRPr="00580125" w:rsidRDefault="00580125" w:rsidP="00006FC3">
            <w:pPr>
              <w:pStyle w:val="a5"/>
              <w:widowControl w:val="0"/>
              <w:spacing w:before="60" w:line="225"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spacing w:before="60" w:line="225" w:lineRule="auto"/>
              <w:ind w:left="-70" w:right="-153" w:firstLine="0"/>
              <w:rPr>
                <w:rFonts w:ascii="Times New Roman" w:hAnsi="Times New Roman"/>
                <w:kern w:val="2"/>
                <w:sz w:val="24"/>
                <w:szCs w:val="24"/>
              </w:rPr>
            </w:pPr>
            <w:r w:rsidRPr="00580125">
              <w:rPr>
                <w:rFonts w:ascii="Times New Roman" w:hAnsi="Times New Roman"/>
                <w:kern w:val="2"/>
                <w:sz w:val="24"/>
                <w:szCs w:val="24"/>
              </w:rPr>
              <w:t xml:space="preserve">65. Опрацювання у межах граничної чисельності </w:t>
            </w:r>
            <w:r w:rsidRPr="00580125">
              <w:rPr>
                <w:rFonts w:ascii="Times New Roman" w:hAnsi="Times New Roman"/>
                <w:spacing w:val="-4"/>
                <w:kern w:val="2"/>
                <w:sz w:val="24"/>
                <w:szCs w:val="24"/>
              </w:rPr>
              <w:t>працівниць/працівників питання</w:t>
            </w:r>
            <w:r w:rsidRPr="00580125">
              <w:rPr>
                <w:rFonts w:ascii="Times New Roman" w:hAnsi="Times New Roman"/>
                <w:kern w:val="2"/>
                <w:sz w:val="24"/>
                <w:szCs w:val="24"/>
              </w:rPr>
              <w:t xml:space="preserve"> щодо можливості призначення в закладі освіти радниці/радника з питань забезпечення рівних прав та можливостей жінок і чоловіків, запобігання та протидії насильству за ознакою статі</w:t>
            </w:r>
          </w:p>
        </w:tc>
        <w:tc>
          <w:tcPr>
            <w:tcW w:w="1351" w:type="pct"/>
            <w:hideMark/>
          </w:tcPr>
          <w:p w:rsidR="004F4704" w:rsidRPr="00580125" w:rsidRDefault="004F4704" w:rsidP="00006FC3">
            <w:pPr>
              <w:pStyle w:val="a5"/>
              <w:widowControl w:val="0"/>
              <w:spacing w:before="60" w:line="225" w:lineRule="auto"/>
              <w:ind w:right="-113" w:firstLine="0"/>
              <w:rPr>
                <w:rFonts w:ascii="Times New Roman" w:hAnsi="Times New Roman"/>
                <w:kern w:val="2"/>
                <w:sz w:val="24"/>
                <w:szCs w:val="24"/>
              </w:rPr>
            </w:pPr>
            <w:r w:rsidRPr="00580125">
              <w:rPr>
                <w:rFonts w:ascii="Times New Roman" w:hAnsi="Times New Roman"/>
                <w:kern w:val="2"/>
                <w:sz w:val="24"/>
                <w:szCs w:val="24"/>
              </w:rPr>
              <w:t>призначення у закладах освіти різного рівня радниць/радників з питань забезпечення рівних прав та можливостей жінок і чоловіків, запобігання та протидії насильству за ознакою статі</w:t>
            </w:r>
          </w:p>
        </w:tc>
        <w:tc>
          <w:tcPr>
            <w:tcW w:w="515" w:type="pct"/>
            <w:hideMark/>
          </w:tcPr>
          <w:p w:rsidR="004F4704" w:rsidRPr="00580125" w:rsidRDefault="00580125" w:rsidP="00006FC3">
            <w:pPr>
              <w:pStyle w:val="a5"/>
              <w:widowControl w:val="0"/>
              <w:spacing w:before="60" w:line="225"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spacing w:before="60" w:line="225" w:lineRule="auto"/>
              <w:ind w:right="-113" w:firstLine="0"/>
              <w:rPr>
                <w:rFonts w:ascii="Times New Roman" w:hAnsi="Times New Roman"/>
                <w:kern w:val="2"/>
                <w:sz w:val="24"/>
                <w:szCs w:val="24"/>
              </w:rPr>
            </w:pPr>
            <w:r w:rsidRPr="00580125">
              <w:rPr>
                <w:rFonts w:ascii="Times New Roman" w:hAnsi="Times New Roman"/>
                <w:kern w:val="2"/>
                <w:sz w:val="24"/>
                <w:szCs w:val="24"/>
              </w:rPr>
              <w:t>збільшено кількість закладів освіти, в яких призначено радника/ радницю з питань забезпечення рівних прав та можливостей жінок і чоловіків, запобігання та протидії насильству за ознакою статі</w:t>
            </w:r>
          </w:p>
        </w:tc>
        <w:tc>
          <w:tcPr>
            <w:tcW w:w="936" w:type="pct"/>
            <w:hideMark/>
          </w:tcPr>
          <w:p w:rsidR="004F4704" w:rsidRPr="00580125" w:rsidRDefault="00580125" w:rsidP="00006FC3">
            <w:pPr>
              <w:pStyle w:val="a5"/>
              <w:widowControl w:val="0"/>
              <w:spacing w:before="60" w:line="225"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66. Сприяння науково-дослідницькій роботі із забезпечення рівних прав та можливостей жінок і чоловіків з включенням її до державних програм проведення фундаментальних</w:t>
            </w:r>
            <w:r w:rsidRPr="00580125">
              <w:rPr>
                <w:rFonts w:ascii="Times New Roman" w:hAnsi="Times New Roman"/>
                <w:kern w:val="2"/>
                <w:sz w:val="24"/>
                <w:szCs w:val="24"/>
                <w:lang w:val="ru-RU"/>
              </w:rPr>
              <w:t>/</w:t>
            </w:r>
            <w:r w:rsidRPr="00580125">
              <w:rPr>
                <w:rFonts w:ascii="Times New Roman" w:hAnsi="Times New Roman"/>
                <w:kern w:val="2"/>
                <w:sz w:val="24"/>
                <w:szCs w:val="24"/>
              </w:rPr>
              <w:t>прикладних наукових досліджень та науково-технічних розробок</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включення до пріоритетних напрямів науково-дослідних робіт забезпечення рівних прав та можливостей жінок і чоловіків та виконання науково-дослідних робіт із забезпечення рівних прав та можливостей жінок і чоловіків</w:t>
            </w:r>
          </w:p>
        </w:tc>
        <w:tc>
          <w:tcPr>
            <w:tcW w:w="515" w:type="pct"/>
            <w:hideMark/>
          </w:tcPr>
          <w:p w:rsidR="004F4704" w:rsidRPr="00580125" w:rsidRDefault="004F4704" w:rsidP="00006FC3">
            <w:pPr>
              <w:pStyle w:val="a5"/>
              <w:widowControl w:val="0"/>
              <w:spacing w:line="225"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збільшено кількість науково-дослідницьких робіт із забезпечення рівних прав та можливостей жінок і чоловіків</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Національна академія педагогічних наук (за згодою)</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67. Формування висококваліфікованої фахової спільноти у гендерних </w:t>
            </w:r>
            <w:r w:rsidRPr="00580125">
              <w:rPr>
                <w:rFonts w:ascii="Times New Roman" w:hAnsi="Times New Roman"/>
                <w:kern w:val="2"/>
                <w:sz w:val="24"/>
                <w:szCs w:val="24"/>
              </w:rPr>
              <w:lastRenderedPageBreak/>
              <w:t>дослідженнях та забезпечення гендерної рівності</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заохочення та створення умов для проходження педагогічними (науково-педагогічними) </w:t>
            </w:r>
            <w:r w:rsidRPr="00580125">
              <w:rPr>
                <w:rFonts w:ascii="Times New Roman" w:hAnsi="Times New Roman"/>
                <w:kern w:val="2"/>
                <w:sz w:val="24"/>
                <w:szCs w:val="24"/>
              </w:rPr>
              <w:lastRenderedPageBreak/>
              <w:t>працівницями/працівниками стажування</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lastRenderedPageBreak/>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педагогічних (науково-</w:t>
            </w:r>
            <w:r w:rsidRPr="00580125">
              <w:rPr>
                <w:rFonts w:ascii="Times New Roman" w:hAnsi="Times New Roman"/>
                <w:kern w:val="2"/>
                <w:sz w:val="24"/>
                <w:szCs w:val="24"/>
              </w:rPr>
              <w:lastRenderedPageBreak/>
              <w:t>педагогічних) працівниць/ працівників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МОН</w:t>
            </w:r>
            <w:r w:rsidRPr="00580125">
              <w:rPr>
                <w:rFonts w:ascii="Times New Roman" w:hAnsi="Times New Roman"/>
                <w:kern w:val="2"/>
                <w:sz w:val="24"/>
                <w:szCs w:val="24"/>
              </w:rPr>
              <w:br/>
              <w:t xml:space="preserve">громадські об’єднання та міжнародні організації (за </w:t>
            </w:r>
            <w:r w:rsidRPr="00580125">
              <w:rPr>
                <w:rFonts w:ascii="Times New Roman" w:hAnsi="Times New Roman"/>
                <w:kern w:val="2"/>
                <w:sz w:val="24"/>
                <w:szCs w:val="24"/>
              </w:rPr>
              <w:lastRenderedPageBreak/>
              <w:t>згодою)</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68. Розміщення на веб-сайтах закладів освіти інформації щодо реалізації Стратегії </w:t>
            </w:r>
            <w:r w:rsidRPr="00580125">
              <w:rPr>
                <w:rFonts w:ascii="Times New Roman" w:hAnsi="Times New Roman"/>
                <w:sz w:val="24"/>
                <w:szCs w:val="24"/>
              </w:rPr>
              <w:t>впровадження гендерної рівності у сфері освіти до 2030 року</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1) проведення інформаційно-консультаційних зустрічей, вебінарів щодо планування діяльності закладів освіти з реалізації Стратегії </w:t>
            </w:r>
            <w:r w:rsidRPr="00580125">
              <w:rPr>
                <w:rFonts w:ascii="Times New Roman" w:hAnsi="Times New Roman"/>
                <w:sz w:val="24"/>
                <w:szCs w:val="24"/>
              </w:rPr>
              <w:t xml:space="preserve">впровадження гендерної рівності </w:t>
            </w:r>
            <w:r w:rsidRPr="00580125">
              <w:rPr>
                <w:rFonts w:ascii="Times New Roman" w:hAnsi="Times New Roman"/>
                <w:sz w:val="24"/>
                <w:szCs w:val="24"/>
              </w:rPr>
              <w:br/>
              <w:t>у сфері освіти до 2030 року</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580125">
            <w:pPr>
              <w:pStyle w:val="a5"/>
              <w:widowControl w:val="0"/>
              <w:ind w:right="-113" w:firstLine="0"/>
              <w:rPr>
                <w:rFonts w:ascii="Times New Roman" w:hAnsi="Times New Roman"/>
                <w:kern w:val="2"/>
                <w:sz w:val="24"/>
                <w:szCs w:val="24"/>
                <w:lang w:val="ru-RU"/>
              </w:rPr>
            </w:pPr>
            <w:r w:rsidRPr="00580125">
              <w:rPr>
                <w:rFonts w:ascii="Times New Roman" w:hAnsi="Times New Roman"/>
                <w:kern w:val="2"/>
                <w:sz w:val="24"/>
                <w:szCs w:val="24"/>
              </w:rPr>
              <w:t xml:space="preserve">забезпечено широкий доступ до інформації на веб-сайтах закладів освіти щодо  реалізації </w:t>
            </w:r>
            <w:r w:rsidRPr="00580125">
              <w:rPr>
                <w:rFonts w:ascii="Times New Roman" w:hAnsi="Times New Roman"/>
                <w:spacing w:val="-4"/>
                <w:kern w:val="2"/>
                <w:sz w:val="24"/>
                <w:szCs w:val="24"/>
              </w:rPr>
              <w:t xml:space="preserve">Стратегії </w:t>
            </w:r>
            <w:r w:rsidRPr="00580125">
              <w:rPr>
                <w:rFonts w:ascii="Times New Roman" w:hAnsi="Times New Roman"/>
                <w:spacing w:val="-4"/>
                <w:sz w:val="24"/>
                <w:szCs w:val="24"/>
              </w:rPr>
              <w:t>впровадження</w:t>
            </w:r>
            <w:r w:rsidRPr="00580125">
              <w:rPr>
                <w:rFonts w:ascii="Times New Roman" w:hAnsi="Times New Roman"/>
                <w:sz w:val="24"/>
                <w:szCs w:val="24"/>
              </w:rPr>
              <w:t xml:space="preserve"> гендерної рівності у сфері освіти до</w:t>
            </w:r>
            <w:r w:rsidRPr="00580125">
              <w:rPr>
                <w:rFonts w:ascii="Times New Roman" w:hAnsi="Times New Roman"/>
                <w:sz w:val="24"/>
                <w:szCs w:val="24"/>
              </w:rPr>
              <w:br/>
              <w:t>2030 року</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rPr>
                <w:rFonts w:ascii="Times New Roman" w:hAnsi="Times New Roman"/>
                <w:sz w:val="24"/>
                <w:szCs w:val="24"/>
                <w:lang w:eastAsia="uk-UA"/>
              </w:rPr>
            </w:pP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2) розроблення рекомендацій щодо висвітлення інформації про діяльність закладу освіти </w:t>
            </w:r>
            <w:r w:rsidRPr="00580125">
              <w:rPr>
                <w:rFonts w:ascii="Times New Roman" w:hAnsi="Times New Roman"/>
                <w:kern w:val="2"/>
                <w:sz w:val="24"/>
                <w:szCs w:val="24"/>
              </w:rPr>
              <w:br/>
              <w:t xml:space="preserve">з реалізації Стратегії </w:t>
            </w:r>
            <w:r w:rsidRPr="00580125">
              <w:rPr>
                <w:rFonts w:ascii="Times New Roman" w:hAnsi="Times New Roman"/>
                <w:sz w:val="24"/>
                <w:szCs w:val="24"/>
              </w:rPr>
              <w:t xml:space="preserve">впровадження гендерної рівності </w:t>
            </w:r>
            <w:r w:rsidRPr="00580125">
              <w:rPr>
                <w:rFonts w:ascii="Times New Roman" w:hAnsi="Times New Roman"/>
                <w:sz w:val="24"/>
                <w:szCs w:val="24"/>
              </w:rPr>
              <w:br/>
              <w:t>у сфері освіти до 2030 року</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адміністрацій закладів освіти</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69. Запровадження під час прийому на роботу працівниць/працівників у сфері освіти (зокрема під час призначення їх на керівні посади) обов’язкового підвищення кваліфікації з питань забезпечення рівних прав та можливостей жінок і чоловіків</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розроблення рекомендацій щодо передбачення у колективних договорах закладів освіти усіх рівнів питання забезпечення рівних прав та можливостей жінок і чоловіків</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адміністрацій закладів освіти, педагогічних (науково-педагогічних) працівниць/ працівників</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5000" w:type="pct"/>
            <w:gridSpan w:val="5"/>
            <w:hideMark/>
          </w:tcPr>
          <w:p w:rsidR="004F4704" w:rsidRPr="00580125" w:rsidRDefault="004F4704" w:rsidP="00006FC3">
            <w:pPr>
              <w:spacing w:before="120"/>
              <w:ind w:firstLine="567"/>
              <w:jc w:val="both"/>
              <w:rPr>
                <w:rFonts w:ascii="Times New Roman" w:hAnsi="Times New Roman"/>
                <w:sz w:val="24"/>
                <w:szCs w:val="24"/>
              </w:rPr>
            </w:pPr>
            <w:r w:rsidRPr="00580125">
              <w:rPr>
                <w:rFonts w:ascii="Times New Roman" w:hAnsi="Times New Roman"/>
                <w:kern w:val="2"/>
                <w:sz w:val="24"/>
                <w:szCs w:val="24"/>
              </w:rPr>
              <w:t xml:space="preserve">Стратегічна ціль 4. </w:t>
            </w:r>
            <w:r w:rsidRPr="00580125">
              <w:rPr>
                <w:rFonts w:ascii="Times New Roman" w:hAnsi="Times New Roman"/>
                <w:sz w:val="24"/>
                <w:szCs w:val="24"/>
              </w:rPr>
              <w:t>Забезпечення рівних прав та можливостей жінок і чоловіків, запобігання та протидія будь-якій дискримінації, впровадження практик інклюзивності у сфері освіти як основи для подолання наслідків військових дій і післявоєнної відбудови України</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70. Проведення аналізу державних стандартів для педагогічних закладів фахової передвищої та вищої освіти щодо наявності в них </w:t>
            </w:r>
            <w:r w:rsidRPr="00580125">
              <w:rPr>
                <w:rFonts w:ascii="Times New Roman" w:hAnsi="Times New Roman"/>
                <w:kern w:val="2"/>
                <w:sz w:val="24"/>
                <w:szCs w:val="24"/>
              </w:rPr>
              <w:lastRenderedPageBreak/>
              <w:t>обов’язкових загальних і спеціальних компетентностей, результатів навчання, спрямованих на усвідомлення здобувачками і здобувачами освіти гендерної рівності та прав людини, у тому числі на період кризи (військового стану та післявоєнного періоду)</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розроблення рекомендацій щодо включення обов’язкових загальних і спеціальних компетентностей, результатів навчання, спрямованих на </w:t>
            </w:r>
            <w:r w:rsidRPr="00580125">
              <w:rPr>
                <w:rFonts w:ascii="Times New Roman" w:hAnsi="Times New Roman"/>
                <w:kern w:val="2"/>
                <w:sz w:val="24"/>
                <w:szCs w:val="24"/>
              </w:rPr>
              <w:lastRenderedPageBreak/>
              <w:t>усвідомлення здобувачками і здобувачами освіти гендерної рівності та прав людини, у тому числі на період кризи (військового стану та післявоєнного періоду)</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2024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переглянуто та оновлено стандарти</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71. Включення до навчальних програм питань підвищення рівня обізнаності, забезпечення спроможності, висвітлення ролі жінок та дівчат у конфліктному та постконфліктному врегулюванні</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доопрацювання навчальних програм і включення до їх змісту питань забезпечення рівних прав та можливостей жінок і чоловіків з урахування гендерного аспекту у конфліктний та постконфліктний період (зокрема, щодо історії успіху жінок на війні, а також ролі жінок у процесі вшанування пам’яті загиблих на війні) </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адміністрацій закладів освіти,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72. Підвищення кваліфікації педагогічних (науково-педагогічних) працівниць/ працівників як сертифіковане навчання з питань забезпечення рівних прав та можливостей жінок та чоловіків в обсязі не менше двох кредитів Європейської кредитної трансферно-накопичувальної системи</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розроблення та впровадження типової програми підвищення кваліфікації педагогічних (науково-педагогічних) працівниць/працівників з питань забезпечення рівних прав та можливостей жінок та чоловіків в обсязі не менше двох кредитів Європейської кредитної трансферно-накопичувальної системи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73. Посилення освітніх спроможностей щодо протидії </w:t>
            </w:r>
            <w:r w:rsidRPr="00580125">
              <w:rPr>
                <w:rFonts w:ascii="Times New Roman" w:hAnsi="Times New Roman"/>
                <w:kern w:val="2"/>
                <w:sz w:val="24"/>
                <w:szCs w:val="24"/>
              </w:rPr>
              <w:lastRenderedPageBreak/>
              <w:t>насильству, в тому числі за ознакою статі, подолання його наслідків та забезпечення гарантій його неповторення шляхом впровадження спеціальних напрямів роботи психологічної, медичної та інших служб, розширення співпраці з правоохоронними органами та органами правосуддя</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проведення заходів щодо протидії насильству, в тому числі за ознакою </w:t>
            </w:r>
            <w:r w:rsidRPr="00580125">
              <w:rPr>
                <w:rFonts w:ascii="Times New Roman" w:hAnsi="Times New Roman"/>
                <w:kern w:val="2"/>
                <w:sz w:val="24"/>
                <w:szCs w:val="24"/>
              </w:rPr>
              <w:lastRenderedPageBreak/>
              <w:t xml:space="preserve">статі, подолання його наслідків та забезпечення гарантій неповторення шляхом впровадження спеціальних напрямів роботи психологічної, медичної та інших служб, розширення співпраці з правоохоронними органами та правозахисним сектором громадянського суспільства та системою відновлювального правосуддя </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lastRenderedPageBreak/>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підвищено кваліфікацію/ поінформованість </w:t>
            </w:r>
            <w:r w:rsidRPr="00580125">
              <w:rPr>
                <w:rFonts w:ascii="Times New Roman" w:hAnsi="Times New Roman"/>
                <w:kern w:val="2"/>
                <w:sz w:val="24"/>
                <w:szCs w:val="24"/>
              </w:rPr>
              <w:lastRenderedPageBreak/>
              <w:t>адміністрацій закладів освіти,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r>
            <w:r w:rsidRPr="00580125">
              <w:rPr>
                <w:rFonts w:ascii="Times New Roman" w:hAnsi="Times New Roman"/>
                <w:kern w:val="2"/>
                <w:sz w:val="24"/>
                <w:szCs w:val="24"/>
              </w:rPr>
              <w:lastRenderedPageBreak/>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74. Професійна підготовка та підвищення кваліфікації науково-педагогічних працівниць/працівників щодо запобігання та протидії насильству, в тому числі за ознакою статі, шляхом виконання програм з позитивної взаємодії, педагогіки партнерства, педагогіки миру, соціально-емоційного та етичного навчання та подолання травм</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проведення інформаційно-консультаційних зустрічей, вебінарів щодо запобігання та протидії насильству, в тому числі за ознакою статі, шляхом виконання програм з позитивної взаємодії, педагогіки партнерства, педагогіки миру, соціально-емоційного та етичного навчання та подолання травм</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Національна академія педагогічних наук (за згодою)</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t xml:space="preserve">ветеранські організації (за згодою) </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75. Забезпечення паритетності відображення ролі жінок щодо внеску у перемогу як у військовій, так і цивільній сфері, в навчальних програмах та освітньому середовищі</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консультування щодо методичного забезпечення з урахування гендерного аспекту у конфліктний та постконфліктний період (історії успіху жінок на війні, роль жінок у процесі вшанування пам’яті загиблих на війні)</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адміністрацій закладів освіти, педагогічних (науково-педагогічних) працівників/ працівниць</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t>ветеранські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76. Забезпечення військової, національно-патріотичної підготовки в закладах освіти </w:t>
            </w:r>
            <w:r w:rsidRPr="00580125">
              <w:rPr>
                <w:rFonts w:ascii="Times New Roman" w:hAnsi="Times New Roman"/>
                <w:kern w:val="2"/>
                <w:sz w:val="24"/>
                <w:szCs w:val="24"/>
              </w:rPr>
              <w:lastRenderedPageBreak/>
              <w:t>різного рівня, позбавлених стереотипних уявлень про роль жінок і чоловіків</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надання рекомендацій щодо доопрацювання навчальних програм і включення до їх змісту питань </w:t>
            </w:r>
            <w:r w:rsidRPr="00580125">
              <w:rPr>
                <w:rFonts w:ascii="Times New Roman" w:hAnsi="Times New Roman"/>
                <w:kern w:val="2"/>
                <w:sz w:val="24"/>
                <w:szCs w:val="24"/>
              </w:rPr>
              <w:lastRenderedPageBreak/>
              <w:t xml:space="preserve">забезпечення рівних прав та можливостей жінок і чоловіків з урахування гендерного аспекту у конфліктний та постконфліктний період </w:t>
            </w:r>
          </w:p>
        </w:tc>
        <w:tc>
          <w:tcPr>
            <w:tcW w:w="515" w:type="pct"/>
            <w:hideMark/>
          </w:tcPr>
          <w:p w:rsidR="004F4704" w:rsidRPr="00580125" w:rsidRDefault="00580125" w:rsidP="00006FC3">
            <w:pPr>
              <w:pStyle w:val="a5"/>
              <w:widowControl w:val="0"/>
              <w:spacing w:line="228" w:lineRule="auto"/>
              <w:ind w:right="-113" w:firstLine="0"/>
              <w:jc w:val="center"/>
              <w:rPr>
                <w:rFonts w:ascii="Times New Roman" w:hAnsi="Times New Roman"/>
                <w:kern w:val="2"/>
                <w:sz w:val="24"/>
                <w:szCs w:val="24"/>
              </w:rPr>
            </w:pPr>
            <w:r>
              <w:rPr>
                <w:rFonts w:ascii="Times New Roman" w:hAnsi="Times New Roman"/>
                <w:kern w:val="2"/>
                <w:sz w:val="24"/>
                <w:szCs w:val="24"/>
              </w:rPr>
              <w:lastRenderedPageBreak/>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посилено спроможність закладів освіти у забезпеченні військової, </w:t>
            </w:r>
            <w:r w:rsidRPr="00580125">
              <w:rPr>
                <w:rFonts w:ascii="Times New Roman" w:hAnsi="Times New Roman"/>
                <w:kern w:val="2"/>
                <w:sz w:val="24"/>
                <w:szCs w:val="24"/>
              </w:rPr>
              <w:lastRenderedPageBreak/>
              <w:t>національно-патріотичної підготовки, позбавленої  стереотипних уявлень про роль жінок і чоловіків</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 xml:space="preserve">громадські об’єднання та </w:t>
            </w:r>
            <w:r w:rsidRPr="00580125">
              <w:rPr>
                <w:rFonts w:ascii="Times New Roman" w:hAnsi="Times New Roman"/>
                <w:kern w:val="2"/>
                <w:sz w:val="24"/>
                <w:szCs w:val="24"/>
              </w:rPr>
              <w:lastRenderedPageBreak/>
              <w:t>міжнародні організації (за згодою)</w:t>
            </w:r>
            <w:r w:rsidRPr="00580125">
              <w:rPr>
                <w:rFonts w:ascii="Times New Roman" w:hAnsi="Times New Roman"/>
                <w:kern w:val="2"/>
                <w:sz w:val="24"/>
                <w:szCs w:val="24"/>
              </w:rPr>
              <w:br/>
              <w:t xml:space="preserve">ветеранські організації (за згодою) </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77. Забезпечення інституційної взаємодії із сектором безпеки і оборони в частині розроблення тренінгових програм для суб’єктів освітньої діяльності з питань поводження, самозахисту і первинної допомоги під час екстремальних ситуацій, у тому числі в умовах воєнного стану</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активізація співпраці та сприяння інституційній взаємодії із сектором безпеки і оборони в частині розроблення тренінгових програм для суб’єктів освітньої діяльності з питань поводження, самозахисту і первинної допомоги під час екстремальних ситуацій, у тому числі в умовах воєнного стану</w:t>
            </w:r>
          </w:p>
        </w:tc>
        <w:tc>
          <w:tcPr>
            <w:tcW w:w="515"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посилено спроможність суб’єктів освітньої діяльності з питань поводження, самозахисту і первинної допомоги під час екстремальних ситуацій, у тому числі в умовах воєнного стану </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78. Забезпечення у системі професійної (професійно-технічної) освіти заохочення жінок до опанування актуальними в контексті післявоєнного відновлення на ринку праці професіями незалежно від гендерних стереотипів</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консультування щодо заохочення жінок у системі професійно-технічної освіти до опанування актуальними в контексті післявоєнного відновлення на ринку праці професіями незалежно від гендерних стереотипів</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адміністрацій закладів освіти,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заклади освіти</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79. Популяризація моделей соціальної поведінки, що передбачають рівний розподіл сімейних та побутових обов’язків</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інформування щодо можливостей закладів освіти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підвищено поінформованість адміністрацій закладів освіти, педагогічних (науково-педагогічних) працівниць/ працівників </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80. Підвищення рівня обізнаності про зв’язок гендерних питань і питань безпеки, відповідних </w:t>
            </w:r>
            <w:r w:rsidRPr="00580125">
              <w:rPr>
                <w:rFonts w:ascii="Times New Roman" w:hAnsi="Times New Roman"/>
                <w:kern w:val="2"/>
                <w:sz w:val="24"/>
                <w:szCs w:val="24"/>
              </w:rPr>
              <w:lastRenderedPageBreak/>
              <w:t>стандартів та практики на національному та міжнародному рівні</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проведення інформаційно-просвітницьких кампаній про зв’язок гендерних питань і питань безпеки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підвищено кваліфікацію/ поінформованість адміністрацій закладів </w:t>
            </w:r>
            <w:r w:rsidRPr="00580125">
              <w:rPr>
                <w:rFonts w:ascii="Times New Roman" w:hAnsi="Times New Roman"/>
                <w:kern w:val="2"/>
                <w:sz w:val="24"/>
                <w:szCs w:val="24"/>
              </w:rPr>
              <w:lastRenderedPageBreak/>
              <w:t>освіти,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МОН</w:t>
            </w:r>
            <w:r w:rsidRPr="00580125">
              <w:rPr>
                <w:rFonts w:ascii="Times New Roman" w:hAnsi="Times New Roman"/>
                <w:kern w:val="2"/>
                <w:sz w:val="24"/>
                <w:szCs w:val="24"/>
              </w:rPr>
              <w:br/>
              <w:t xml:space="preserve">заклади освіти </w:t>
            </w:r>
            <w:r w:rsidRPr="00580125">
              <w:rPr>
                <w:rFonts w:ascii="Times New Roman" w:hAnsi="Times New Roman"/>
                <w:kern w:val="2"/>
                <w:sz w:val="24"/>
                <w:szCs w:val="24"/>
              </w:rPr>
              <w:br/>
              <w:t xml:space="preserve">громадські об’єднання та </w:t>
            </w:r>
            <w:r w:rsidRPr="00580125">
              <w:rPr>
                <w:rFonts w:ascii="Times New Roman" w:hAnsi="Times New Roman"/>
                <w:kern w:val="2"/>
                <w:sz w:val="24"/>
                <w:szCs w:val="24"/>
              </w:rPr>
              <w:lastRenderedPageBreak/>
              <w:t>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lastRenderedPageBreak/>
              <w:t>81. Здійснення обміну з організаціями громадянського суспільства інформацією щодо врахування гендерного аспекту у конфліктний та постконфліктний період</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здійснення з організаціями громадянського суспільства обміну інформацією щодо врахування гендерного аспекту у конфліктний та постконфліктний період</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 xml:space="preserve">посилено спроможність стейкхолдерів освітнього процесу щодо врахування гендерного аспекту у конфліктний та постконфліктний період </w:t>
            </w:r>
          </w:p>
        </w:tc>
        <w:tc>
          <w:tcPr>
            <w:tcW w:w="936" w:type="pct"/>
            <w:hideMark/>
          </w:tcPr>
          <w:p w:rsidR="004F4704" w:rsidRPr="00580125" w:rsidRDefault="00580125" w:rsidP="00006FC3">
            <w:pPr>
              <w:pStyle w:val="a5"/>
              <w:widowControl w:val="0"/>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r>
      <w:tr w:rsidR="004F4704" w:rsidRPr="00580125" w:rsidTr="00006FC3">
        <w:trPr>
          <w:trHeight w:val="20"/>
        </w:trPr>
        <w:tc>
          <w:tcPr>
            <w:tcW w:w="122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82. Участь освітян у реалізації проектів із забезпечення ефективного демократичного цивільного контролю за Збройними Силами і сектором безпеки і оборони з урахуванням вимог щодо забезпечення на постійній основі прав людини, гендерної рівності і міжнародного гуманітарного права у сфері освіти</w:t>
            </w:r>
          </w:p>
        </w:tc>
        <w:tc>
          <w:tcPr>
            <w:tcW w:w="1351"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консультування щодо участі освітян у реалізації проектів із забезпечення ефективного демократичного цивільного контролю за Збройними Силами і сектором безпеки і оборони з урахуванням вимог щодо забезпечення на постійній основі прав людини, гендерної рівності і міжнародного гуманітарного права у сфері освіти</w:t>
            </w:r>
          </w:p>
        </w:tc>
        <w:tc>
          <w:tcPr>
            <w:tcW w:w="515" w:type="pct"/>
            <w:hideMark/>
          </w:tcPr>
          <w:p w:rsidR="004F4704" w:rsidRPr="00580125" w:rsidRDefault="004F4704" w:rsidP="00006FC3">
            <w:pPr>
              <w:pStyle w:val="a5"/>
              <w:widowControl w:val="0"/>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адміністрацій закладів освіти,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ind w:right="-113" w:firstLine="0"/>
              <w:rPr>
                <w:rFonts w:ascii="Times New Roman" w:hAnsi="Times New Roman"/>
                <w:kern w:val="2"/>
                <w:sz w:val="24"/>
                <w:szCs w:val="24"/>
              </w:rPr>
            </w:pPr>
            <w:r w:rsidRPr="00580125">
              <w:rPr>
                <w:rFonts w:ascii="Times New Roman" w:hAnsi="Times New Roman"/>
                <w:kern w:val="2"/>
                <w:sz w:val="24"/>
                <w:szCs w:val="24"/>
              </w:rPr>
              <w:t>МОН</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83. Р</w:t>
            </w:r>
            <w:r w:rsidRPr="00580125">
              <w:rPr>
                <w:rFonts w:ascii="Times New Roman" w:hAnsi="Times New Roman"/>
                <w:sz w:val="24"/>
                <w:szCs w:val="24"/>
                <w:highlight w:val="white"/>
              </w:rPr>
              <w:t>озроблення у співпраці з кращими вітчизняними та іноземними архітекторами рекомендацій і типових архітектурних проектів закладів освіти з урахуванням недискримінаційного, інклюзивного, безбар’єрного підходу, вимог щодо безпеки, енергоефективності та до нової української школ</w:t>
            </w:r>
            <w:r w:rsidRPr="00580125">
              <w:rPr>
                <w:rFonts w:ascii="Times New Roman" w:hAnsi="Times New Roman"/>
                <w:sz w:val="24"/>
                <w:szCs w:val="24"/>
              </w:rPr>
              <w:t>и</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розроблення рекомендацій у співпраці з кращими вітчизняними та міжнародними архітекторами із залученням закладів освіти, а також у співпраці з профільними інституціями сектору безпеки і оборони щодо забезпечення інфраструктурних і матеріально-технічних умов закладів освіти сектору безпеки і оборони для навчання дівчат</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2023</w:t>
            </w:r>
            <w:r w:rsidR="00580125">
              <w:rPr>
                <w:rFonts w:ascii="Times New Roman" w:hAnsi="Times New Roman"/>
                <w:kern w:val="2"/>
                <w:sz w:val="24"/>
                <w:szCs w:val="24"/>
              </w:rPr>
              <w:t>-</w:t>
            </w:r>
            <w:r w:rsidRPr="00580125">
              <w:rPr>
                <w:rFonts w:ascii="Times New Roman" w:hAnsi="Times New Roman"/>
                <w:kern w:val="2"/>
                <w:sz w:val="24"/>
                <w:szCs w:val="24"/>
              </w:rPr>
              <w:t>2024 роки</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посилено спроможність стейкхолдерів освітнього процесу щодо відновлення освітнього середовища з урахуванням недискримінаційного, інклюзивного, безбар’єрного підходу, вимог щодо безпеки, енергоефективності та до нової української школи </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p>
        </w:tc>
      </w:tr>
      <w:tr w:rsidR="004F4704" w:rsidRPr="00580125" w:rsidTr="00006FC3">
        <w:trPr>
          <w:trHeight w:val="20"/>
        </w:trPr>
        <w:tc>
          <w:tcPr>
            <w:tcW w:w="122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 xml:space="preserve">84. Проведення інформаційно-просвітницьких заходів із запобігання ухваленню державних стандартів, освітніх програм, рішень щодо відновлення </w:t>
            </w:r>
            <w:r w:rsidRPr="00580125">
              <w:rPr>
                <w:rFonts w:ascii="Times New Roman" w:hAnsi="Times New Roman"/>
                <w:kern w:val="2"/>
                <w:sz w:val="24"/>
                <w:szCs w:val="24"/>
              </w:rPr>
              <w:br/>
              <w:t>та відбудови, що не відповідають недискримінаційному, інклюзивному та євроінтеграційному підходу, використовують застарілі та стереотипні рішення, що призводять до</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1) здійснення заходів із запобігання ухваленню державних стандартів, освітніх програм, рішень щодо відновлення та відбудови, що не відповідають недискримінаційному, інклюзивному та євроінтеграційному підходу, використовують застарілі та стереотипні рішення, що призводять до неефективного використання залучених коштів</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підвищено кваліфікацію/ поінформованість адміністрацій закладів освіти, педагогічних (науково-педагогічних) працівниць/ працівників</w:t>
            </w:r>
          </w:p>
        </w:tc>
        <w:tc>
          <w:tcPr>
            <w:tcW w:w="936"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 xml:space="preserve">обласні, Київська міська держадміністрації </w:t>
            </w:r>
            <w:r w:rsidRPr="00580125">
              <w:rPr>
                <w:rFonts w:ascii="Times New Roman" w:hAnsi="Times New Roman"/>
                <w:kern w:val="2"/>
                <w:sz w:val="24"/>
                <w:szCs w:val="24"/>
              </w:rPr>
              <w:br/>
              <w:t xml:space="preserve">органи місцевого самоврядування (за згодою) </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t xml:space="preserve">Національний університет імені Тараса Шевченка (за згодою) </w:t>
            </w:r>
          </w:p>
        </w:tc>
      </w:tr>
      <w:tr w:rsidR="004F4704" w:rsidRPr="00580125" w:rsidTr="00006FC3">
        <w:trPr>
          <w:trHeight w:val="2395"/>
        </w:trPr>
        <w:tc>
          <w:tcPr>
            <w:tcW w:w="0" w:type="auto"/>
            <w:hideMark/>
          </w:tcPr>
          <w:p w:rsidR="004F4704" w:rsidRPr="00580125" w:rsidRDefault="004F4704" w:rsidP="00006FC3">
            <w:pPr>
              <w:spacing w:line="228" w:lineRule="auto"/>
              <w:rPr>
                <w:rFonts w:ascii="Times New Roman" w:hAnsi="Times New Roman"/>
                <w:kern w:val="2"/>
                <w:sz w:val="24"/>
                <w:szCs w:val="24"/>
              </w:rPr>
            </w:pPr>
            <w:r w:rsidRPr="00580125">
              <w:rPr>
                <w:rFonts w:ascii="Times New Roman" w:hAnsi="Times New Roman"/>
                <w:kern w:val="2"/>
                <w:sz w:val="24"/>
                <w:szCs w:val="24"/>
              </w:rPr>
              <w:t>неефективного використання залучених коштів</w:t>
            </w:r>
          </w:p>
        </w:tc>
        <w:tc>
          <w:tcPr>
            <w:tcW w:w="1351" w:type="pct"/>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2) розроблення та проведення випробовувань на базі Національного університету імені Тараса Шевченка менторських програм у сфері сталого розвитку та екологічної політики</w:t>
            </w:r>
          </w:p>
        </w:tc>
        <w:tc>
          <w:tcPr>
            <w:tcW w:w="515" w:type="pct"/>
            <w:hideMark/>
          </w:tcPr>
          <w:p w:rsidR="004F4704" w:rsidRPr="00580125" w:rsidRDefault="004F4704" w:rsidP="00006FC3">
            <w:pPr>
              <w:pStyle w:val="a5"/>
              <w:widowControl w:val="0"/>
              <w:spacing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0" w:type="auto"/>
            <w:hideMark/>
          </w:tcPr>
          <w:p w:rsidR="004F4704" w:rsidRPr="00580125" w:rsidRDefault="004F4704" w:rsidP="00006FC3">
            <w:pPr>
              <w:spacing w:before="120" w:line="228" w:lineRule="auto"/>
              <w:rPr>
                <w:rFonts w:ascii="Times New Roman" w:hAnsi="Times New Roman"/>
                <w:kern w:val="2"/>
                <w:sz w:val="24"/>
                <w:szCs w:val="24"/>
              </w:rPr>
            </w:pPr>
            <w:r w:rsidRPr="00580125">
              <w:rPr>
                <w:rFonts w:ascii="Times New Roman" w:hAnsi="Times New Roman"/>
                <w:kern w:val="2"/>
                <w:sz w:val="24"/>
                <w:szCs w:val="24"/>
              </w:rPr>
              <w:t xml:space="preserve">розроблено менторські програми у сфері сталого розвитку та екологічної політики та проведено їх випробовування на базі Національного університету імені Тараса Шевченка </w:t>
            </w:r>
          </w:p>
        </w:tc>
        <w:tc>
          <w:tcPr>
            <w:tcW w:w="0" w:type="auto"/>
            <w:hideMark/>
          </w:tcPr>
          <w:p w:rsidR="004F4704" w:rsidRPr="00580125" w:rsidRDefault="004F4704" w:rsidP="00006FC3">
            <w:pPr>
              <w:pStyle w:val="a5"/>
              <w:widowControl w:val="0"/>
              <w:spacing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 xml:space="preserve">обласні, Київська міська держадміністрації </w:t>
            </w:r>
            <w:r w:rsidRPr="00580125">
              <w:rPr>
                <w:rFonts w:ascii="Times New Roman" w:hAnsi="Times New Roman"/>
                <w:kern w:val="2"/>
                <w:sz w:val="24"/>
                <w:szCs w:val="24"/>
              </w:rPr>
              <w:br/>
              <w:t xml:space="preserve">органи місцевого самоврядування (за згодою) </w:t>
            </w:r>
            <w:r w:rsidRPr="00580125">
              <w:rPr>
                <w:rFonts w:ascii="Times New Roman" w:hAnsi="Times New Roman"/>
                <w:kern w:val="2"/>
                <w:sz w:val="24"/>
                <w:szCs w:val="24"/>
              </w:rPr>
              <w:br/>
              <w:t>громадські об’єднання та міжнародні організації (за згодою)</w:t>
            </w:r>
            <w:r w:rsidRPr="00580125">
              <w:rPr>
                <w:rFonts w:ascii="Times New Roman" w:hAnsi="Times New Roman"/>
                <w:kern w:val="2"/>
                <w:sz w:val="24"/>
                <w:szCs w:val="24"/>
              </w:rPr>
              <w:br/>
              <w:t>Національний університет імені Тараса Шевченка (за згодою)</w:t>
            </w:r>
          </w:p>
        </w:tc>
      </w:tr>
      <w:tr w:rsidR="004F4704" w:rsidRPr="00580125" w:rsidTr="00006FC3">
        <w:trPr>
          <w:trHeight w:val="20"/>
        </w:trPr>
        <w:tc>
          <w:tcPr>
            <w:tcW w:w="1229" w:type="pct"/>
            <w:hideMark/>
          </w:tcPr>
          <w:p w:rsidR="004F4704" w:rsidRPr="00580125" w:rsidRDefault="004F4704" w:rsidP="00006FC3">
            <w:pPr>
              <w:pStyle w:val="a5"/>
              <w:widowControl w:val="0"/>
              <w:spacing w:before="4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85. Стале відновлення і реконструкція освітньої інфраструктури з урахуванням недискримінаційного та інклюзивного підходу (подолання гендерного розриву та забезпечення доступу всіх учасниць і учасників освітнього процесу до ресурсів), широкої </w:t>
            </w:r>
            <w:r w:rsidRPr="00580125">
              <w:rPr>
                <w:rFonts w:ascii="Times New Roman" w:hAnsi="Times New Roman"/>
                <w:kern w:val="2"/>
                <w:sz w:val="24"/>
                <w:szCs w:val="24"/>
              </w:rPr>
              <w:lastRenderedPageBreak/>
              <w:t>інтеграції гендерних підходів у постконфліктному суспільстві</w:t>
            </w:r>
          </w:p>
        </w:tc>
        <w:tc>
          <w:tcPr>
            <w:tcW w:w="1351" w:type="pct"/>
            <w:hideMark/>
          </w:tcPr>
          <w:p w:rsidR="004F4704" w:rsidRPr="00580125" w:rsidRDefault="004F4704" w:rsidP="00006FC3">
            <w:pPr>
              <w:pStyle w:val="a5"/>
              <w:widowControl w:val="0"/>
              <w:spacing w:before="40"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проведення інформаційно-просвітницьких заходів щодо забезпечення інфраструктурних і матеріально-технічних умов для сталого відновлення і реконструкції закладів освіти, у тому числі сектору безпеки і оборони, з метою забезпечення рівних можливостей для навчання дівчат і хлопців</w:t>
            </w:r>
          </w:p>
        </w:tc>
        <w:tc>
          <w:tcPr>
            <w:tcW w:w="515" w:type="pct"/>
            <w:hideMark/>
          </w:tcPr>
          <w:p w:rsidR="004F4704" w:rsidRPr="00580125" w:rsidRDefault="00580125" w:rsidP="00006FC3">
            <w:pPr>
              <w:pStyle w:val="a5"/>
              <w:widowControl w:val="0"/>
              <w:spacing w:before="40"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spacing w:before="4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посилено спроможність стейкхолдерів освітнього процесу щодо забезпечення інфраструктурних і матеріально-технічних умов для сталого відновлення і реконструкції закладів </w:t>
            </w:r>
            <w:r w:rsidRPr="00580125">
              <w:rPr>
                <w:rFonts w:ascii="Times New Roman" w:hAnsi="Times New Roman"/>
                <w:kern w:val="2"/>
                <w:sz w:val="24"/>
                <w:szCs w:val="24"/>
              </w:rPr>
              <w:lastRenderedPageBreak/>
              <w:t>освіти, у тому числі сектору безпеки і оборони, з метою забезпечення рівних можливостей для навчання дівчат і хлопців</w:t>
            </w:r>
          </w:p>
        </w:tc>
        <w:tc>
          <w:tcPr>
            <w:tcW w:w="936" w:type="pct"/>
            <w:hideMark/>
          </w:tcPr>
          <w:p w:rsidR="004F4704" w:rsidRPr="00580125" w:rsidRDefault="004F4704" w:rsidP="00006FC3">
            <w:pPr>
              <w:pStyle w:val="a5"/>
              <w:widowControl w:val="0"/>
              <w:spacing w:before="40" w:line="228" w:lineRule="auto"/>
              <w:ind w:right="-113" w:firstLine="0"/>
              <w:rPr>
                <w:rFonts w:ascii="Times New Roman" w:hAnsi="Times New Roman"/>
                <w:kern w:val="2"/>
                <w:sz w:val="24"/>
                <w:szCs w:val="24"/>
              </w:rPr>
            </w:pPr>
            <w:r w:rsidRPr="00580125">
              <w:rPr>
                <w:rFonts w:ascii="Times New Roman" w:hAnsi="Times New Roman"/>
                <w:kern w:val="2"/>
                <w:sz w:val="24"/>
                <w:szCs w:val="24"/>
              </w:rPr>
              <w:lastRenderedPageBreak/>
              <w:t>МОН</w:t>
            </w:r>
            <w:r w:rsidRPr="00580125">
              <w:rPr>
                <w:rFonts w:ascii="Times New Roman" w:hAnsi="Times New Roman"/>
                <w:kern w:val="2"/>
                <w:sz w:val="24"/>
                <w:szCs w:val="24"/>
              </w:rPr>
              <w:br/>
              <w:t xml:space="preserve">обласні, Київська міська держадміністрації </w:t>
            </w:r>
            <w:r w:rsidRPr="00580125">
              <w:rPr>
                <w:rFonts w:ascii="Times New Roman" w:hAnsi="Times New Roman"/>
                <w:kern w:val="2"/>
                <w:sz w:val="24"/>
                <w:szCs w:val="24"/>
              </w:rPr>
              <w:br/>
              <w:t xml:space="preserve">органи місцевого самоврядування (за згодою) </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hideMark/>
          </w:tcPr>
          <w:p w:rsidR="004F4704" w:rsidRPr="00580125" w:rsidRDefault="004F4704" w:rsidP="00006FC3">
            <w:pPr>
              <w:pStyle w:val="a5"/>
              <w:widowControl w:val="0"/>
              <w:spacing w:before="40" w:line="228" w:lineRule="auto"/>
              <w:ind w:right="-113" w:firstLine="0"/>
              <w:rPr>
                <w:rFonts w:ascii="Times New Roman" w:hAnsi="Times New Roman"/>
                <w:kern w:val="2"/>
                <w:sz w:val="24"/>
                <w:szCs w:val="24"/>
              </w:rPr>
            </w:pPr>
            <w:r w:rsidRPr="00580125">
              <w:rPr>
                <w:rFonts w:ascii="Times New Roman" w:hAnsi="Times New Roman"/>
                <w:kern w:val="2"/>
                <w:sz w:val="24"/>
                <w:szCs w:val="24"/>
              </w:rPr>
              <w:t xml:space="preserve">86. Посилення соціального захисту освітян, переважна більшість яких є жінками, зокрема у системі дошкільної, початкової та повної загальної середньої освіти, в умовах безпекових викликів, відновлення після воєнного вторгнення; створення системи контролю за навантаженням на працівників закладів освіти з урахуванням статі </w:t>
            </w:r>
          </w:p>
        </w:tc>
        <w:tc>
          <w:tcPr>
            <w:tcW w:w="1351" w:type="pct"/>
            <w:hideMark/>
          </w:tcPr>
          <w:p w:rsidR="004F4704" w:rsidRPr="00580125" w:rsidRDefault="004F4704" w:rsidP="00006FC3">
            <w:pPr>
              <w:pStyle w:val="a5"/>
              <w:widowControl w:val="0"/>
              <w:spacing w:before="40" w:line="228" w:lineRule="auto"/>
              <w:ind w:right="-113" w:firstLine="0"/>
              <w:rPr>
                <w:rFonts w:ascii="Times New Roman" w:hAnsi="Times New Roman"/>
                <w:kern w:val="2"/>
                <w:sz w:val="24"/>
                <w:szCs w:val="24"/>
              </w:rPr>
            </w:pPr>
            <w:r w:rsidRPr="00580125">
              <w:rPr>
                <w:rFonts w:ascii="Times New Roman" w:hAnsi="Times New Roman"/>
                <w:kern w:val="2"/>
                <w:sz w:val="24"/>
                <w:szCs w:val="24"/>
              </w:rPr>
              <w:t>1) обстеження становища освітян, виявлення нагальних проблем, які можуть розв’язати освітні інституції</w:t>
            </w:r>
          </w:p>
        </w:tc>
        <w:tc>
          <w:tcPr>
            <w:tcW w:w="515" w:type="pct"/>
            <w:hideMark/>
          </w:tcPr>
          <w:p w:rsidR="004F4704" w:rsidRPr="00580125" w:rsidRDefault="004F4704" w:rsidP="00006FC3">
            <w:pPr>
              <w:pStyle w:val="a5"/>
              <w:widowControl w:val="0"/>
              <w:spacing w:before="40" w:line="228" w:lineRule="auto"/>
              <w:ind w:right="-113" w:firstLine="0"/>
              <w:jc w:val="center"/>
              <w:rPr>
                <w:rFonts w:ascii="Times New Roman" w:hAnsi="Times New Roman"/>
                <w:kern w:val="2"/>
                <w:sz w:val="24"/>
                <w:szCs w:val="24"/>
              </w:rPr>
            </w:pPr>
            <w:r w:rsidRPr="00580125">
              <w:rPr>
                <w:rFonts w:ascii="Times New Roman" w:hAnsi="Times New Roman"/>
                <w:kern w:val="2"/>
                <w:sz w:val="24"/>
                <w:szCs w:val="24"/>
              </w:rPr>
              <w:t>2024 рік</w:t>
            </w:r>
          </w:p>
        </w:tc>
        <w:tc>
          <w:tcPr>
            <w:tcW w:w="969" w:type="pct"/>
            <w:hideMark/>
          </w:tcPr>
          <w:p w:rsidR="004F4704" w:rsidRPr="00580125" w:rsidRDefault="004F4704" w:rsidP="00006FC3">
            <w:pPr>
              <w:pStyle w:val="a5"/>
              <w:widowControl w:val="0"/>
              <w:spacing w:before="40" w:line="228" w:lineRule="auto"/>
              <w:ind w:right="-113" w:firstLine="0"/>
              <w:rPr>
                <w:rFonts w:ascii="Times New Roman" w:hAnsi="Times New Roman"/>
                <w:kern w:val="2"/>
                <w:sz w:val="24"/>
                <w:szCs w:val="24"/>
              </w:rPr>
            </w:pPr>
            <w:r w:rsidRPr="00580125">
              <w:rPr>
                <w:rFonts w:ascii="Times New Roman" w:hAnsi="Times New Roman"/>
                <w:kern w:val="2"/>
                <w:sz w:val="24"/>
                <w:szCs w:val="24"/>
              </w:rPr>
              <w:t>посилено спроможність стейкхолдерів освітнього процесу щодо соціального захисту освітян у системі дошкільної, початкової та повної загальної середньої освіти, в умовах безпекових викликів, відновлення після військового вторгнення</w:t>
            </w:r>
          </w:p>
        </w:tc>
        <w:tc>
          <w:tcPr>
            <w:tcW w:w="936" w:type="pct"/>
            <w:hideMark/>
          </w:tcPr>
          <w:p w:rsidR="004F4704" w:rsidRPr="00580125" w:rsidRDefault="004F4704" w:rsidP="00006FC3">
            <w:pPr>
              <w:pStyle w:val="a5"/>
              <w:widowControl w:val="0"/>
              <w:spacing w:before="40"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r w:rsidRPr="00580125">
              <w:rPr>
                <w:rFonts w:ascii="Times New Roman" w:hAnsi="Times New Roman"/>
                <w:kern w:val="2"/>
                <w:sz w:val="24"/>
                <w:szCs w:val="24"/>
              </w:rPr>
              <w:br/>
              <w:t xml:space="preserve">обласні, Київська міська держадміністрації </w:t>
            </w:r>
            <w:r w:rsidRPr="00580125">
              <w:rPr>
                <w:rFonts w:ascii="Times New Roman" w:hAnsi="Times New Roman"/>
                <w:kern w:val="2"/>
                <w:sz w:val="24"/>
                <w:szCs w:val="24"/>
              </w:rPr>
              <w:br/>
              <w:t xml:space="preserve">органи місцевого самоврядування (за згодою) </w:t>
            </w:r>
            <w:r w:rsidRPr="00580125">
              <w:rPr>
                <w:rFonts w:ascii="Times New Roman" w:hAnsi="Times New Roman"/>
                <w:kern w:val="2"/>
                <w:sz w:val="24"/>
                <w:szCs w:val="24"/>
              </w:rPr>
              <w:br/>
              <w:t>громадські об’єднання та міжнародні організації (за згодою)</w:t>
            </w:r>
          </w:p>
        </w:tc>
      </w:tr>
      <w:tr w:rsidR="004F4704" w:rsidRPr="00580125" w:rsidTr="00006FC3">
        <w:trPr>
          <w:trHeight w:val="20"/>
        </w:trPr>
        <w:tc>
          <w:tcPr>
            <w:tcW w:w="1229" w:type="pct"/>
          </w:tcPr>
          <w:p w:rsidR="004F4704" w:rsidRPr="00580125" w:rsidRDefault="004F4704" w:rsidP="00006FC3">
            <w:pPr>
              <w:pStyle w:val="a5"/>
              <w:widowControl w:val="0"/>
              <w:spacing w:before="40" w:line="228" w:lineRule="auto"/>
              <w:ind w:right="-113" w:firstLine="0"/>
              <w:rPr>
                <w:rFonts w:ascii="Times New Roman" w:hAnsi="Times New Roman"/>
                <w:kern w:val="2"/>
                <w:sz w:val="24"/>
                <w:szCs w:val="24"/>
              </w:rPr>
            </w:pPr>
          </w:p>
        </w:tc>
        <w:tc>
          <w:tcPr>
            <w:tcW w:w="1351" w:type="pct"/>
            <w:hideMark/>
          </w:tcPr>
          <w:p w:rsidR="004F4704" w:rsidRPr="00580125" w:rsidRDefault="004F4704" w:rsidP="00006FC3">
            <w:pPr>
              <w:pStyle w:val="a5"/>
              <w:widowControl w:val="0"/>
              <w:spacing w:before="40" w:line="228" w:lineRule="auto"/>
              <w:ind w:right="-113" w:firstLine="0"/>
              <w:rPr>
                <w:rFonts w:ascii="Times New Roman" w:hAnsi="Times New Roman"/>
                <w:kern w:val="2"/>
                <w:sz w:val="24"/>
                <w:szCs w:val="24"/>
              </w:rPr>
            </w:pPr>
            <w:r w:rsidRPr="00580125">
              <w:rPr>
                <w:rFonts w:ascii="Times New Roman" w:hAnsi="Times New Roman"/>
                <w:kern w:val="2"/>
                <w:sz w:val="24"/>
                <w:szCs w:val="24"/>
              </w:rPr>
              <w:t>2) підготовка рекомендацій за результатами проведеного аудиту щодо здійснення контролю за навантаженням на працівниць/працівників закладів освіти з урахуванням статі</w:t>
            </w:r>
          </w:p>
        </w:tc>
        <w:tc>
          <w:tcPr>
            <w:tcW w:w="515" w:type="pct"/>
            <w:hideMark/>
          </w:tcPr>
          <w:p w:rsidR="004F4704" w:rsidRPr="00580125" w:rsidRDefault="00580125" w:rsidP="00006FC3">
            <w:pPr>
              <w:pStyle w:val="a5"/>
              <w:widowControl w:val="0"/>
              <w:spacing w:before="40" w:line="228" w:lineRule="auto"/>
              <w:ind w:right="-113" w:firstLine="0"/>
              <w:jc w:val="center"/>
              <w:rPr>
                <w:rFonts w:ascii="Times New Roman" w:hAnsi="Times New Roman"/>
                <w:kern w:val="2"/>
                <w:sz w:val="24"/>
                <w:szCs w:val="24"/>
              </w:rPr>
            </w:pPr>
            <w:r>
              <w:rPr>
                <w:rFonts w:ascii="Times New Roman" w:hAnsi="Times New Roman"/>
                <w:kern w:val="2"/>
                <w:sz w:val="24"/>
                <w:szCs w:val="24"/>
              </w:rPr>
              <w:t>-</w:t>
            </w:r>
            <w:r w:rsidR="004F4704" w:rsidRPr="00580125">
              <w:rPr>
                <w:rFonts w:ascii="Times New Roman" w:hAnsi="Times New Roman"/>
                <w:kern w:val="2"/>
                <w:sz w:val="24"/>
                <w:szCs w:val="24"/>
              </w:rPr>
              <w:t>“</w:t>
            </w:r>
            <w:r>
              <w:rPr>
                <w:rFonts w:ascii="Times New Roman" w:hAnsi="Times New Roman"/>
                <w:kern w:val="2"/>
                <w:sz w:val="24"/>
                <w:szCs w:val="24"/>
              </w:rPr>
              <w:t>-</w:t>
            </w:r>
          </w:p>
        </w:tc>
        <w:tc>
          <w:tcPr>
            <w:tcW w:w="969" w:type="pct"/>
            <w:hideMark/>
          </w:tcPr>
          <w:p w:rsidR="004F4704" w:rsidRPr="00580125" w:rsidRDefault="004F4704" w:rsidP="00006FC3">
            <w:pPr>
              <w:pStyle w:val="a5"/>
              <w:widowControl w:val="0"/>
              <w:spacing w:before="40" w:line="228" w:lineRule="auto"/>
              <w:ind w:right="-113" w:firstLine="0"/>
              <w:rPr>
                <w:rFonts w:ascii="Times New Roman" w:hAnsi="Times New Roman"/>
                <w:kern w:val="2"/>
                <w:sz w:val="24"/>
                <w:szCs w:val="24"/>
              </w:rPr>
            </w:pPr>
            <w:r w:rsidRPr="00580125">
              <w:rPr>
                <w:rFonts w:ascii="Times New Roman" w:hAnsi="Times New Roman"/>
                <w:kern w:val="2"/>
                <w:sz w:val="24"/>
                <w:szCs w:val="24"/>
              </w:rPr>
              <w:t>підготовлено рекомендації за результатами аудиту щодо здійснення контролю за навантаженням на працівниць/працівників закладів освіти з урахуванням статі</w:t>
            </w:r>
          </w:p>
        </w:tc>
        <w:tc>
          <w:tcPr>
            <w:tcW w:w="936" w:type="pct"/>
            <w:hideMark/>
          </w:tcPr>
          <w:p w:rsidR="004F4704" w:rsidRPr="00580125" w:rsidRDefault="004F4704" w:rsidP="00006FC3">
            <w:pPr>
              <w:pStyle w:val="a5"/>
              <w:widowControl w:val="0"/>
              <w:spacing w:before="40" w:line="228" w:lineRule="auto"/>
              <w:ind w:right="-113" w:firstLine="0"/>
              <w:rPr>
                <w:rFonts w:ascii="Times New Roman" w:hAnsi="Times New Roman"/>
                <w:kern w:val="2"/>
                <w:sz w:val="24"/>
                <w:szCs w:val="24"/>
              </w:rPr>
            </w:pPr>
            <w:r w:rsidRPr="00580125">
              <w:rPr>
                <w:rFonts w:ascii="Times New Roman" w:hAnsi="Times New Roman"/>
                <w:kern w:val="2"/>
                <w:sz w:val="24"/>
                <w:szCs w:val="24"/>
              </w:rPr>
              <w:t>МОН</w:t>
            </w:r>
          </w:p>
        </w:tc>
      </w:tr>
    </w:tbl>
    <w:p w:rsidR="004F4704" w:rsidRPr="00580125" w:rsidRDefault="004F4704" w:rsidP="00580125">
      <w:pPr>
        <w:pStyle w:val="3"/>
        <w:spacing w:before="0"/>
        <w:ind w:left="0"/>
        <w:jc w:val="center"/>
        <w:rPr>
          <w:rFonts w:ascii="Times New Roman" w:hAnsi="Times New Roman"/>
          <w:b w:val="0"/>
          <w:i w:val="0"/>
          <w:sz w:val="24"/>
          <w:szCs w:val="24"/>
          <w:lang w:val="en-US"/>
        </w:rPr>
      </w:pPr>
      <w:bookmarkStart w:id="0" w:name="_GoBack"/>
      <w:bookmarkEnd w:id="0"/>
    </w:p>
    <w:sectPr w:rsidR="004F4704" w:rsidRPr="00580125" w:rsidSect="004F4704">
      <w:headerReference w:type="even" r:id="rId7"/>
      <w:headerReference w:type="default" r:id="rId8"/>
      <w:pgSz w:w="16838" w:h="11906" w:orient="landscape" w:code="9"/>
      <w:pgMar w:top="993" w:right="1134" w:bottom="1134" w:left="1134"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2F1" w:rsidRDefault="00D102F1">
      <w:r>
        <w:separator/>
      </w:r>
    </w:p>
  </w:endnote>
  <w:endnote w:type="continuationSeparator" w:id="0">
    <w:p w:rsidR="00D102F1" w:rsidRDefault="00D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2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2F1" w:rsidRDefault="00D102F1">
      <w:r>
        <w:separator/>
      </w:r>
    </w:p>
  </w:footnote>
  <w:footnote w:type="continuationSeparator" w:id="0">
    <w:p w:rsidR="00D102F1" w:rsidRDefault="00D1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F8440C" w:rsidRDefault="00525BBB">
    <w:pPr>
      <w:framePr w:wrap="around" w:vAnchor="text" w:hAnchor="margin" w:xAlign="center" w:y="1"/>
      <w:rPr>
        <w:rFonts w:ascii="Times New Roman" w:hAnsi="Times New Roman"/>
        <w:sz w:val="28"/>
        <w:szCs w:val="28"/>
      </w:rPr>
    </w:pPr>
    <w:r w:rsidRPr="00F8440C">
      <w:rPr>
        <w:rFonts w:ascii="Times New Roman" w:hAnsi="Times New Roman"/>
        <w:sz w:val="28"/>
        <w:szCs w:val="28"/>
      </w:rPr>
      <w:fldChar w:fldCharType="begin"/>
    </w:r>
    <w:r w:rsidRPr="00F8440C">
      <w:rPr>
        <w:rFonts w:ascii="Times New Roman" w:hAnsi="Times New Roman"/>
        <w:sz w:val="28"/>
        <w:szCs w:val="28"/>
      </w:rPr>
      <w:instrText xml:space="preserve">PAGE  </w:instrText>
    </w:r>
    <w:r w:rsidRPr="00F8440C">
      <w:rPr>
        <w:rFonts w:ascii="Times New Roman" w:hAnsi="Times New Roman"/>
        <w:sz w:val="28"/>
        <w:szCs w:val="28"/>
      </w:rPr>
      <w:fldChar w:fldCharType="separate"/>
    </w:r>
    <w:r w:rsidR="004F3322">
      <w:rPr>
        <w:rFonts w:ascii="Times New Roman" w:hAnsi="Times New Roman"/>
        <w:noProof/>
        <w:sz w:val="28"/>
        <w:szCs w:val="28"/>
      </w:rPr>
      <w:t>2</w:t>
    </w:r>
    <w:r w:rsidRPr="00F8440C">
      <w:rPr>
        <w:rFonts w:ascii="Times New Roman" w:hAnsi="Times New Roman"/>
        <w:sz w:val="28"/>
        <w:szCs w:val="28"/>
      </w:rPr>
      <w:fldChar w:fldCharType="end"/>
    </w:r>
  </w:p>
  <w:p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3EA"/>
    <w:multiLevelType w:val="multilevel"/>
    <w:tmpl w:val="D42AFF9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0443EE8"/>
    <w:multiLevelType w:val="multilevel"/>
    <w:tmpl w:val="86E46F14"/>
    <w:lvl w:ilvl="0">
      <w:start w:val="1"/>
      <w:numFmt w:val="decimal"/>
      <w:lvlText w:val="%1."/>
      <w:lvlJc w:val="left"/>
      <w:pPr>
        <w:ind w:left="1089" w:hanging="3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23B935F9"/>
    <w:multiLevelType w:val="multilevel"/>
    <w:tmpl w:val="B0A670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8304ADD"/>
    <w:multiLevelType w:val="multilevel"/>
    <w:tmpl w:val="517A3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066590"/>
    <w:multiLevelType w:val="multilevel"/>
    <w:tmpl w:val="4224CB2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D396CFA"/>
    <w:multiLevelType w:val="multilevel"/>
    <w:tmpl w:val="8EB076B2"/>
    <w:lvl w:ilvl="0">
      <w:start w:val="1"/>
      <w:numFmt w:val="decimal"/>
      <w:lvlText w:val="%1."/>
      <w:lvlJc w:val="left"/>
      <w:pPr>
        <w:ind w:left="1169" w:hanging="4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511C76FB"/>
    <w:multiLevelType w:val="multilevel"/>
    <w:tmpl w:val="E5884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D21E12"/>
    <w:multiLevelType w:val="multilevel"/>
    <w:tmpl w:val="A04AA8D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6"/>
  </w:num>
  <w:num w:numId="3">
    <w:abstractNumId w:val="0"/>
  </w:num>
  <w:num w:numId="4">
    <w:abstractNumId w:val="7"/>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6FC3"/>
    <w:rsid w:val="000139D8"/>
    <w:rsid w:val="00077047"/>
    <w:rsid w:val="000B5A29"/>
    <w:rsid w:val="0016536E"/>
    <w:rsid w:val="001A4DF8"/>
    <w:rsid w:val="001A5FC5"/>
    <w:rsid w:val="001D396F"/>
    <w:rsid w:val="001D4418"/>
    <w:rsid w:val="00210F96"/>
    <w:rsid w:val="00221144"/>
    <w:rsid w:val="002272C7"/>
    <w:rsid w:val="00237904"/>
    <w:rsid w:val="002416FD"/>
    <w:rsid w:val="00245DD6"/>
    <w:rsid w:val="00356923"/>
    <w:rsid w:val="003A08AF"/>
    <w:rsid w:val="003D7F58"/>
    <w:rsid w:val="003E546A"/>
    <w:rsid w:val="00437634"/>
    <w:rsid w:val="004426C3"/>
    <w:rsid w:val="00443177"/>
    <w:rsid w:val="004715E7"/>
    <w:rsid w:val="004C29EB"/>
    <w:rsid w:val="004E0536"/>
    <w:rsid w:val="004E12B1"/>
    <w:rsid w:val="004F3322"/>
    <w:rsid w:val="004F4704"/>
    <w:rsid w:val="004F6CF6"/>
    <w:rsid w:val="00525BBB"/>
    <w:rsid w:val="005565EC"/>
    <w:rsid w:val="00580125"/>
    <w:rsid w:val="0063408E"/>
    <w:rsid w:val="006B25B6"/>
    <w:rsid w:val="006D35FF"/>
    <w:rsid w:val="00736CC7"/>
    <w:rsid w:val="00755931"/>
    <w:rsid w:val="00787392"/>
    <w:rsid w:val="00792DC2"/>
    <w:rsid w:val="007D7BAD"/>
    <w:rsid w:val="007F5B1F"/>
    <w:rsid w:val="00813211"/>
    <w:rsid w:val="008206AE"/>
    <w:rsid w:val="00843452"/>
    <w:rsid w:val="008679A8"/>
    <w:rsid w:val="008A7968"/>
    <w:rsid w:val="008E0C02"/>
    <w:rsid w:val="008E4203"/>
    <w:rsid w:val="00910C43"/>
    <w:rsid w:val="0091558A"/>
    <w:rsid w:val="009175E2"/>
    <w:rsid w:val="009271C6"/>
    <w:rsid w:val="00940559"/>
    <w:rsid w:val="0099214C"/>
    <w:rsid w:val="00A11CFF"/>
    <w:rsid w:val="00A82984"/>
    <w:rsid w:val="00A93266"/>
    <w:rsid w:val="00AD00D7"/>
    <w:rsid w:val="00AE248D"/>
    <w:rsid w:val="00B253A9"/>
    <w:rsid w:val="00B75DA1"/>
    <w:rsid w:val="00B87348"/>
    <w:rsid w:val="00C2446A"/>
    <w:rsid w:val="00C60CF0"/>
    <w:rsid w:val="00C92AF9"/>
    <w:rsid w:val="00CE1BE2"/>
    <w:rsid w:val="00D102F1"/>
    <w:rsid w:val="00D352A3"/>
    <w:rsid w:val="00D62814"/>
    <w:rsid w:val="00DC64C3"/>
    <w:rsid w:val="00DC6770"/>
    <w:rsid w:val="00DF127A"/>
    <w:rsid w:val="00E14E67"/>
    <w:rsid w:val="00E15F06"/>
    <w:rsid w:val="00E36552"/>
    <w:rsid w:val="00E418E0"/>
    <w:rsid w:val="00E43A4A"/>
    <w:rsid w:val="00EB5193"/>
    <w:rsid w:val="00EC420F"/>
    <w:rsid w:val="00EE6497"/>
    <w:rsid w:val="00F17E0D"/>
    <w:rsid w:val="00F2066F"/>
    <w:rsid w:val="00F61AAB"/>
    <w:rsid w:val="00F61FD7"/>
    <w:rsid w:val="00F65887"/>
    <w:rsid w:val="00F673CA"/>
    <w:rsid w:val="00F86A80"/>
    <w:rsid w:val="00FB301D"/>
    <w:rsid w:val="00FC46E8"/>
    <w:rsid w:val="00FD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95156E-A307-4237-BAA4-000B24AC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val="uk-UA"/>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f">
    <w:name w:val="List Paragraph"/>
    <w:basedOn w:val="a"/>
    <w:qFormat/>
    <w:rsid w:val="001D396F"/>
    <w:pPr>
      <w:spacing w:after="160" w:line="259" w:lineRule="auto"/>
      <w:ind w:left="720"/>
      <w:contextualSpacing/>
    </w:pPr>
    <w:rPr>
      <w:rFonts w:ascii="Calibri" w:hAnsi="Calibri"/>
      <w:sz w:val="22"/>
      <w:szCs w:val="22"/>
      <w:lang w:eastAsia="uk-UA"/>
    </w:rPr>
  </w:style>
  <w:style w:type="table" w:styleId="af0">
    <w:name w:val="Table Grid"/>
    <w:basedOn w:val="a1"/>
    <w:uiPriority w:val="59"/>
    <w:rsid w:val="009155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AD00D7"/>
    <w:rPr>
      <w:rFonts w:ascii="Antiqua" w:hAnsi="Antiqua"/>
      <w:b/>
      <w:i/>
      <w:sz w:val="26"/>
      <w:lang w:eastAsia="ru-RU"/>
    </w:rPr>
  </w:style>
  <w:style w:type="character" w:customStyle="1" w:styleId="10">
    <w:name w:val="Заголовок 1 Знак"/>
    <w:link w:val="1"/>
    <w:rsid w:val="006B25B6"/>
    <w:rPr>
      <w:rFonts w:ascii="Antiqua" w:hAnsi="Antiqua"/>
      <w:b/>
      <w:smallCaps/>
      <w:sz w:val="28"/>
      <w:lang w:eastAsia="ru-RU"/>
    </w:rPr>
  </w:style>
  <w:style w:type="character" w:customStyle="1" w:styleId="20">
    <w:name w:val="Заголовок 2 Знак"/>
    <w:link w:val="2"/>
    <w:rsid w:val="006B25B6"/>
    <w:rPr>
      <w:rFonts w:ascii="Antiqua" w:hAnsi="Antiqua"/>
      <w:b/>
      <w:sz w:val="26"/>
      <w:lang w:eastAsia="ru-RU"/>
    </w:rPr>
  </w:style>
  <w:style w:type="character" w:customStyle="1" w:styleId="40">
    <w:name w:val="Заголовок 4 Знак"/>
    <w:link w:val="4"/>
    <w:rsid w:val="006B25B6"/>
    <w:rPr>
      <w:rFonts w:ascii="Antiqua" w:hAnsi="Antiqua"/>
      <w:sz w:val="26"/>
      <w:lang w:eastAsia="ru-RU"/>
    </w:rPr>
  </w:style>
  <w:style w:type="character" w:customStyle="1" w:styleId="a4">
    <w:name w:val="Нижний колонтитул Знак"/>
    <w:link w:val="a3"/>
    <w:rsid w:val="006B25B6"/>
    <w:rPr>
      <w:rFonts w:ascii="Antiqua" w:hAnsi="Antiqua"/>
      <w:sz w:val="26"/>
      <w:lang w:eastAsia="ru-RU"/>
    </w:rPr>
  </w:style>
  <w:style w:type="character" w:customStyle="1" w:styleId="a8">
    <w:name w:val="Верхний колонтитул Знак"/>
    <w:link w:val="a7"/>
    <w:rsid w:val="006B25B6"/>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6">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990985651">
      <w:bodyDiv w:val="1"/>
      <w:marLeft w:val="0"/>
      <w:marRight w:val="0"/>
      <w:marTop w:val="0"/>
      <w:marBottom w:val="0"/>
      <w:divBdr>
        <w:top w:val="none" w:sz="0" w:space="0" w:color="auto"/>
        <w:left w:val="none" w:sz="0" w:space="0" w:color="auto"/>
        <w:bottom w:val="none" w:sz="0" w:space="0" w:color="auto"/>
        <w:right w:val="none" w:sz="0" w:space="0" w:color="auto"/>
      </w:divBdr>
    </w:div>
    <w:div w:id="12169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9959</Words>
  <Characters>56771</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vt:lpstr>
    </vt:vector>
  </TitlesOfParts>
  <Company/>
  <LinksUpToDate>false</LinksUpToDate>
  <CharactersWithSpaces>66597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Пользователь Windows</cp:lastModifiedBy>
  <cp:revision>3</cp:revision>
  <cp:lastPrinted>2002-04-19T12:13:00Z</cp:lastPrinted>
  <dcterms:created xsi:type="dcterms:W3CDTF">2022-12-23T13:56:00Z</dcterms:created>
  <dcterms:modified xsi:type="dcterms:W3CDTF">2022-12-23T13:56:00Z</dcterms:modified>
</cp:coreProperties>
</file>