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ІНФОРМАЦІЯ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 xml:space="preserve">інше майно</w:t>
      </w:r>
      <w:r>
        <w:rPr>
          <w:rFonts w:ascii="Times New Roman" w:hAnsi="Times New Roman" w:cs="Times New Roman"/>
          <w:b/>
          <w:sz w:val="28"/>
          <w:szCs w:val="28"/>
        </w:rPr>
        <w:t xml:space="preserve">, як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пропонуються до передачі</w:t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/>
    </w:p>
    <w:tbl>
      <w:tblPr>
        <w:tblStyle w:val="602"/>
        <w:tblW w:w="15041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2690"/>
        <w:gridCol w:w="2127"/>
        <w:gridCol w:w="1985"/>
        <w:gridCol w:w="1559"/>
        <w:gridCol w:w="5911"/>
      </w:tblGrid>
      <w:tr>
        <w:trPr>
          <w:jc w:val="center"/>
          <w:trHeight w:val="1024"/>
        </w:trPr>
        <w:tc>
          <w:tcPr>
            <w:gridSpan w:val="2"/>
            <w:tcW w:w="345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r>
            <w:r/>
          </w:p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Балансоутримувач</w:t>
            </w:r>
            <w:r/>
          </w:p>
        </w:tc>
        <w:tc>
          <w:tcPr>
            <w:gridSpan w:val="4"/>
            <w:tcW w:w="11582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Івано-Франківський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н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ауково-дослідний </w:t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202124"/>
                <w:sz w:val="28"/>
                <w:szCs w:val="28"/>
                <w:shd w:val="clear" w:color="auto" w:fill="ffffff"/>
                <w:lang w:val="uk-UA"/>
              </w:rPr>
              <w:t xml:space="preserve">експертно-криміналістичний центр МВС України</w:t>
            </w:r>
            <w:r/>
          </w:p>
        </w:tc>
      </w:tr>
      <w:tr>
        <w:trPr>
          <w:jc w:val="center"/>
          <w:trHeight w:val="981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№ з/п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Найменування майна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(марка, модель та ін.)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Інвентарний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номер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Показник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експлуатації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Рік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випуску</w:t>
            </w:r>
            <w:r/>
          </w:p>
        </w:tc>
        <w:tc>
          <w:tcPr>
            <w:tcW w:w="5911" w:type="dxa"/>
            <w:vAlign w:val="center"/>
            <w:textDirection w:val="lrTb"/>
            <w:noWrap w:val="false"/>
          </w:tcPr>
          <w:p>
            <w:pPr>
              <w:jc w:val="center"/>
              <w:spacing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Опис технічного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br/>
              <w:t xml:space="preserve">(експлуатаційного) стану</w:t>
            </w:r>
            <w:r/>
          </w:p>
        </w:tc>
      </w:tr>
      <w:tr>
        <w:trPr>
          <w:jc w:val="center"/>
          <w:trHeight w:val="1745"/>
        </w:trPr>
        <w:tc>
          <w:tcPr>
            <w:tcW w:w="76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1.</w:t>
            </w:r>
            <w:r/>
          </w:p>
        </w:tc>
        <w:tc>
          <w:tcPr>
            <w:tcW w:w="2690" w:type="dxa"/>
            <w:vAlign w:val="center"/>
            <w:textDirection w:val="lrTb"/>
            <w:noWrap w:val="false"/>
          </w:tcPr>
          <w:p>
            <w:pPr>
              <w:ind w:left="-100" w:right="-105"/>
              <w:jc w:val="center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Газовий хроматограф Кристал 2000М </w:t>
            </w: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br/>
              <w:t xml:space="preserve">зав. № 5265</w:t>
            </w:r>
            <w:r/>
          </w:p>
        </w:tc>
        <w:tc>
          <w:tcPr>
            <w:tcW w:w="2127" w:type="dxa"/>
            <w:vAlign w:val="center"/>
            <w:textDirection w:val="lrTb"/>
            <w:noWrap w:val="false"/>
          </w:tcPr>
          <w:p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101450017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</w:t>
            </w:r>
            <w:r/>
          </w:p>
        </w:tc>
        <w:tc>
          <w:tcPr>
            <w:tcW w:w="1559" w:type="dxa"/>
            <w:vAlign w:val="center"/>
            <w:textDirection w:val="lrTb"/>
            <w:noWrap w:val="false"/>
          </w:tcPr>
          <w:p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2004</w:t>
            </w:r>
            <w:r/>
          </w:p>
        </w:tc>
        <w:tc>
          <w:tcPr>
            <w:tcW w:w="5911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Несправні та потребують заміни регулятори розходу газу (5 шт.). Нестабільність роботи приладу, неможливість повного відновлення працездатності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через інтенсивну експлуатацію та вік приладу.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Неможливість проведення ремонту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через відсутність витратних матеріалів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, так як прилад виробництва ЗАО «СКБ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Хроматєк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» м. Йошкар-Ола, республіки Марій Ел,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росія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. Прилад морально та технічно застарілий, дорогоцінних металів не містить. </w:t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1417" w:right="850" w:bottom="850" w:left="85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uk-UA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598"/>
    <w:next w:val="598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599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598"/>
    <w:next w:val="598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599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598"/>
    <w:next w:val="598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599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598"/>
    <w:next w:val="598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599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598"/>
    <w:next w:val="598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599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598"/>
    <w:next w:val="598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599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598"/>
    <w:next w:val="598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599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598"/>
    <w:next w:val="598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599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598"/>
    <w:next w:val="598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599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0">
    <w:name w:val="List Paragraph"/>
    <w:basedOn w:val="598"/>
    <w:uiPriority w:val="34"/>
    <w:qFormat/>
    <w:pPr>
      <w:contextualSpacing/>
      <w:ind w:left="720"/>
    </w:p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598"/>
    <w:next w:val="598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599"/>
    <w:link w:val="33"/>
    <w:uiPriority w:val="10"/>
    <w:rPr>
      <w:sz w:val="48"/>
      <w:szCs w:val="48"/>
    </w:rPr>
  </w:style>
  <w:style w:type="paragraph" w:styleId="35">
    <w:name w:val="Subtitle"/>
    <w:basedOn w:val="598"/>
    <w:next w:val="598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599"/>
    <w:link w:val="35"/>
    <w:uiPriority w:val="11"/>
    <w:rPr>
      <w:sz w:val="24"/>
      <w:szCs w:val="24"/>
    </w:rPr>
  </w:style>
  <w:style w:type="paragraph" w:styleId="37">
    <w:name w:val="Quote"/>
    <w:basedOn w:val="598"/>
    <w:next w:val="598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598"/>
    <w:next w:val="598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598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599"/>
    <w:link w:val="41"/>
    <w:uiPriority w:val="99"/>
  </w:style>
  <w:style w:type="paragraph" w:styleId="43">
    <w:name w:val="Footer"/>
    <w:basedOn w:val="598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599"/>
    <w:link w:val="43"/>
    <w:uiPriority w:val="99"/>
  </w:style>
  <w:style w:type="paragraph" w:styleId="45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8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7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1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4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8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1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5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598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599"/>
    <w:uiPriority w:val="99"/>
    <w:unhideWhenUsed/>
    <w:rPr>
      <w:vertAlign w:val="superscript"/>
    </w:rPr>
  </w:style>
  <w:style w:type="paragraph" w:styleId="177">
    <w:name w:val="endnote text"/>
    <w:basedOn w:val="598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599"/>
    <w:uiPriority w:val="99"/>
    <w:semiHidden/>
    <w:unhideWhenUsed/>
    <w:rPr>
      <w:vertAlign w:val="superscript"/>
    </w:rPr>
  </w:style>
  <w:style w:type="paragraph" w:styleId="180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pPr>
      <w:spacing w:after="200" w:line="276" w:lineRule="auto"/>
    </w:pPr>
    <w:rPr>
      <w:rFonts w:eastAsiaTheme="minorEastAsia"/>
      <w:lang w:eastAsia="ru-RU"/>
    </w:r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table" w:styleId="602">
    <w:name w:val="Table Grid"/>
    <w:basedOn w:val="600"/>
    <w:uiPriority w:val="59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ONLYOFFICE/7.2.2.56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Iryna</dc:creator>
  <cp:keywords/>
  <dc:description/>
  <cp:lastModifiedBy>Борсук Ольга Миколаївна</cp:lastModifiedBy>
  <cp:revision>2</cp:revision>
  <dcterms:created xsi:type="dcterms:W3CDTF">2023-06-12T11:33:00Z</dcterms:created>
  <dcterms:modified xsi:type="dcterms:W3CDTF">2023-06-14T13:57:58Z</dcterms:modified>
</cp:coreProperties>
</file>