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/>
      <w:bookmarkStart w:id="1" w:name="To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СПРАВА «ФІЛОНЕНКО ТА ІНШІ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(CASE OF</w:t>
      </w:r>
      <w:bookmarkEnd w:id="1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FILONENKO AND OTHERS v. UKRAINE)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(Заява № 87/21 та 2 інші заяви)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Стислий виклад рішення від 25 травня 2023 року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Заявники трималися під вартою у різних установах Державної кримінально-виконавчої служби України.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До Європейського суду з прав людини (далі – Європейський суд) заявники скаржилися за статтями 3 та 13 Конвенції про захист прав людини і основоположних свобод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br/>
        <w:t xml:space="preserve">(далі – Конвенція) на неналежні умови тримання їх під вартою та відсутність у національному законодавстві ефективного засобу юридичного захисту у зв’язку з цим. Заявники висунули інші скарги за Конвенцією. Заявник у заяві 87/21 подав також скаргу за статт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ею 3 Конвенції на неналежні умови тримання під вартою щодо іншого періоду.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Розглянувши скарги заявників, Європейський суд нагадав, що під час встановлення, чи є умови тримання такими, «що принижують гідність» у розумінні статті 3 Конвенції, серйозний брак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простору у в’язничних камерах вважається дуже впливовим чинником та може становити порушення як сам собою, так і в сукупності з іншими недоліками. Посилаючись на свою попередню практику у справах проти України, Європейський суд дійшов висновку, що у цій сп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раві умови тримання заявників під вартою були неналежними, а також, що заявники не мали у своєму розпорядженні ефективного засобу юридичного захисту та констатував порушення статей 3 і 13 Конвенції.</w:t>
      </w:r>
      <w:r/>
    </w:p>
    <w:p>
      <w:pPr>
        <w:pStyle w:val="830"/>
        <w:ind w:firstLine="709"/>
        <w:rPr>
          <w:lang w:val="uk-UA"/>
        </w:rPr>
      </w:pPr>
      <w:r>
        <w:rPr>
          <w:rFonts w:eastAsia="Times New Roman"/>
          <w:szCs w:val="24"/>
          <w:lang w:val="uk-UA"/>
        </w:rPr>
        <w:t xml:space="preserve">Стосовно інших скарг заявників Європейський суд, посилаюч</w:t>
      </w:r>
      <w:r>
        <w:rPr>
          <w:rFonts w:eastAsia="Times New Roman"/>
          <w:szCs w:val="24"/>
          <w:lang w:val="uk-UA"/>
        </w:rPr>
        <w:t xml:space="preserve">ись на свою попередню практику, </w:t>
      </w:r>
      <w:r>
        <w:rPr>
          <w:lang w:val="uk-UA"/>
        </w:rPr>
        <w:t xml:space="preserve">дійшов висновку</w:t>
      </w:r>
      <w:r>
        <w:rPr>
          <w:rFonts w:eastAsia="Times New Roman"/>
          <w:szCs w:val="24"/>
          <w:lang w:val="uk-UA"/>
        </w:rPr>
        <w:t xml:space="preserve">, </w:t>
      </w:r>
      <w:r>
        <w:rPr>
          <w:lang w:val="uk-UA"/>
        </w:rPr>
        <w:t xml:space="preserve">що ці скарги також свідчать про порушення положень Конвенції</w:t>
      </w:r>
      <w:r>
        <w:rPr>
          <w:i/>
          <w:lang w:val="uk-UA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Щодо інших скарг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заяві №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87/21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Європейський суд зазначив, що вони не відповідають критеріям прийнятності та не виявляють жодних ознак порушення прав і свобод, гарантованих Конвенцією або протоколами до неї, та відхилив цю частину заяви відповідно до пункту 4 статті 35 Конвенції.</w:t>
      </w:r>
      <w:r/>
    </w:p>
    <w:p>
      <w:pPr>
        <w:jc w:val="both"/>
        <w:keepLines/>
        <w:keepNext/>
        <w:spacing w:before="100" w:beforeAutospacing="1" w:after="240" w:line="240" w:lineRule="auto"/>
        <w:rPr>
          <w:rFonts w:ascii="Times New Roman" w:hAnsi="Times New Roman" w:eastAsia="MS Gothic" w:cs="Times New Roman"/>
          <w:bCs/>
          <w:caps/>
          <w:sz w:val="24"/>
          <w:szCs w:val="24"/>
          <w:lang w:val="uk-UA"/>
        </w:rPr>
        <w:outlineLvl w:val="0"/>
      </w:pPr>
      <w:r>
        <w:rPr>
          <w:rFonts w:ascii="Times New Roman" w:hAnsi="Times New Roman" w:eastAsia="MS Gothic" w:cs="Times New Roman"/>
          <w:bCs/>
          <w:caps/>
          <w:sz w:val="24"/>
          <w:szCs w:val="24"/>
          <w:lang w:val="uk-UA"/>
        </w:rPr>
        <w:t xml:space="preserve">ЗА ЦИХ</w:t>
      </w:r>
      <w:r>
        <w:rPr>
          <w:rFonts w:ascii="Times New Roman" w:hAnsi="Times New Roman" w:eastAsia="MS Gothic" w:cs="Times New Roman"/>
          <w:bCs/>
          <w:caps/>
          <w:sz w:val="24"/>
          <w:szCs w:val="24"/>
          <w:lang w:val="uk-UA"/>
        </w:rPr>
        <w:t xml:space="preserve"> ПІДСТАВ СУД ОДНОГОЛОСНО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«1. 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Вирішує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об’єднати заяви;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2.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Оголошує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прийнятними скарги на неналежні умови тримання під вартою протягом періодів, наведених в таблиці у додатку, відсутність у національному законодавстві ефективного засобу юридичного захисту у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зв’язку з цим та інші скарги за усталеною практикою Суду, наведені в таблиці у додатку, а решту скарг у заяві № 87/21 – неприйнятними;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3.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ці скарги свідчать про порушення статей 3 та 13 Конвенції у зв’язку з неналежними умовами тримання 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вартою та відсутність у національному законодавстві ефективного засобу юридичного захисту</w:t>
      </w:r>
      <w:r>
        <w:rPr>
          <w:rFonts w:ascii="Times New Roman" w:hAnsi="Times New Roman" w:eastAsia="PMingLiU" w:cs="Times New Roman"/>
          <w:sz w:val="24"/>
          <w:szCs w:val="24"/>
          <w:lang w:val="uk-UA"/>
        </w:rPr>
        <w:t xml:space="preserve">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4.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було порушено Конвенцію у зв’язку з іншими скаргами, висунутими за усталеною практикою Суду (див. таблицю у додатку);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5.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що: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(a)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упродовж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</w:rPr>
        <w:t xml:space="preserve"> трьох місяців держава-відповідач повинна сплатити заявникам суми, зазначені у таблиці в додатку; ці суми мають бути конвертовані в національну валюту держави-відповідача за курсом на день здійснення платежу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;</w:t>
      </w:r>
      <w:r/>
    </w:p>
    <w:p>
      <w:pPr>
        <w:numPr>
          <w:ilvl w:val="255"/>
          <w:numId w:val="0"/>
        </w:numPr>
        <w:contextualSpacing/>
        <w:jc w:val="both"/>
        <w:spacing w:before="280" w:after="60" w:line="240" w:lineRule="auto"/>
        <w:tabs>
          <w:tab w:val="left" w:pos="340" w:leader="none"/>
        </w:tabs>
        <w:rPr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b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(simple interest)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має бути додано три відсоткові пункти».</w:t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PMingLiU">
    <w:panose1 w:val="02020603020101020101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space"/>
      <w:lvlText w:val="%1."/>
      <w:lvlJc w:val="left"/>
      <w:pPr/>
      <w:rPr>
        <w:rFonts w:hint="default"/>
        <w:b w:val="0"/>
        <w:bCs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styleLink w:val="834"/>
    <w:lvl w:ilvl="0">
      <w:start w:val="1"/>
      <w:numFmt w:val="decimal"/>
      <w:pStyle w:val="831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pStyle w:val="832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pStyle w:val="833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4">
    <w:multiLevelType w:val="hybridMultilevel"/>
    <w:numStyleLink w:val="83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4"/>
    <w:link w:val="64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4"/>
    <w:link w:val="64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4"/>
    <w:link w:val="64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4"/>
    <w:link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4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4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4"/>
    <w:link w:val="668"/>
    <w:uiPriority w:val="10"/>
    <w:rPr>
      <w:sz w:val="48"/>
      <w:szCs w:val="48"/>
    </w:rPr>
  </w:style>
  <w:style w:type="character" w:styleId="36">
    <w:name w:val="Subtitle Char"/>
    <w:basedOn w:val="654"/>
    <w:link w:val="670"/>
    <w:uiPriority w:val="11"/>
    <w:rPr>
      <w:sz w:val="24"/>
      <w:szCs w:val="24"/>
    </w:rPr>
  </w:style>
  <w:style w:type="character" w:styleId="38">
    <w:name w:val="Quote Char"/>
    <w:link w:val="672"/>
    <w:uiPriority w:val="29"/>
    <w:rPr>
      <w:i/>
    </w:rPr>
  </w:style>
  <w:style w:type="character" w:styleId="40">
    <w:name w:val="Intense Quote Char"/>
    <w:link w:val="674"/>
    <w:uiPriority w:val="30"/>
    <w:rPr>
      <w:i/>
    </w:rPr>
  </w:style>
  <w:style w:type="character" w:styleId="42">
    <w:name w:val="Header Char"/>
    <w:basedOn w:val="654"/>
    <w:link w:val="676"/>
    <w:uiPriority w:val="99"/>
  </w:style>
  <w:style w:type="character" w:styleId="46">
    <w:name w:val="Caption Char"/>
    <w:basedOn w:val="680"/>
    <w:link w:val="678"/>
    <w:uiPriority w:val="99"/>
  </w:style>
  <w:style w:type="character" w:styleId="175">
    <w:name w:val="Footnote Text Char"/>
    <w:link w:val="809"/>
    <w:uiPriority w:val="99"/>
    <w:rPr>
      <w:sz w:val="18"/>
    </w:rPr>
  </w:style>
  <w:style w:type="character" w:styleId="178">
    <w:name w:val="Endnote Text Char"/>
    <w:link w:val="812"/>
    <w:uiPriority w:val="99"/>
    <w:rPr>
      <w:sz w:val="20"/>
    </w:rPr>
  </w:style>
  <w:style w:type="paragraph" w:styleId="644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45">
    <w:name w:val="Heading 1"/>
    <w:basedOn w:val="644"/>
    <w:next w:val="64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6">
    <w:name w:val="Heading 2"/>
    <w:basedOn w:val="644"/>
    <w:next w:val="644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7">
    <w:name w:val="Heading 3"/>
    <w:basedOn w:val="644"/>
    <w:next w:val="644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8">
    <w:name w:val="Heading 4"/>
    <w:basedOn w:val="644"/>
    <w:next w:val="644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644"/>
    <w:next w:val="644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644"/>
    <w:next w:val="644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1">
    <w:name w:val="Heading 7"/>
    <w:basedOn w:val="644"/>
    <w:next w:val="644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2">
    <w:name w:val="Heading 8"/>
    <w:basedOn w:val="644"/>
    <w:next w:val="644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3">
    <w:name w:val="Heading 9"/>
    <w:basedOn w:val="644"/>
    <w:next w:val="64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eastAsia="Arial" w:cs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eastAsia="Arial" w:cs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eastAsia="Arial" w:cs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644"/>
    <w:uiPriority w:val="34"/>
    <w:qFormat/>
    <w:pPr>
      <w:contextualSpacing/>
      <w:ind w:left="720"/>
    </w:pPr>
  </w:style>
  <w:style w:type="paragraph" w:styleId="667">
    <w:name w:val="No Spacing"/>
    <w:uiPriority w:val="1"/>
    <w:qFormat/>
  </w:style>
  <w:style w:type="paragraph" w:styleId="668">
    <w:name w:val="Title"/>
    <w:basedOn w:val="644"/>
    <w:next w:val="644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 w:customStyle="1">
    <w:name w:val="Назва Знак"/>
    <w:basedOn w:val="654"/>
    <w:link w:val="668"/>
    <w:uiPriority w:val="10"/>
    <w:rPr>
      <w:sz w:val="48"/>
      <w:szCs w:val="48"/>
    </w:rPr>
  </w:style>
  <w:style w:type="paragraph" w:styleId="670">
    <w:name w:val="Subtitle"/>
    <w:basedOn w:val="644"/>
    <w:next w:val="644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 w:customStyle="1">
    <w:name w:val="Підзаголовок Знак"/>
    <w:basedOn w:val="654"/>
    <w:link w:val="670"/>
    <w:uiPriority w:val="11"/>
    <w:rPr>
      <w:sz w:val="24"/>
      <w:szCs w:val="24"/>
    </w:rPr>
  </w:style>
  <w:style w:type="paragraph" w:styleId="672">
    <w:name w:val="Quote"/>
    <w:basedOn w:val="644"/>
    <w:next w:val="644"/>
    <w:link w:val="673"/>
    <w:uiPriority w:val="29"/>
    <w:qFormat/>
    <w:pPr>
      <w:ind w:left="720" w:right="720"/>
    </w:pPr>
    <w:rPr>
      <w:i/>
    </w:rPr>
  </w:style>
  <w:style w:type="character" w:styleId="673" w:customStyle="1">
    <w:name w:val="Цитата Знак"/>
    <w:link w:val="672"/>
    <w:uiPriority w:val="29"/>
    <w:rPr>
      <w:i/>
    </w:rPr>
  </w:style>
  <w:style w:type="paragraph" w:styleId="674">
    <w:name w:val="Intense Quote"/>
    <w:basedOn w:val="644"/>
    <w:next w:val="644"/>
    <w:link w:val="6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 w:customStyle="1">
    <w:name w:val="Насичена цитата Знак"/>
    <w:link w:val="674"/>
    <w:uiPriority w:val="30"/>
    <w:rPr>
      <w:i/>
    </w:rPr>
  </w:style>
  <w:style w:type="paragraph" w:styleId="676">
    <w:name w:val="Header"/>
    <w:basedOn w:val="644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 w:customStyle="1">
    <w:name w:val="Верхній колонтитул Знак"/>
    <w:basedOn w:val="654"/>
    <w:link w:val="676"/>
    <w:uiPriority w:val="99"/>
  </w:style>
  <w:style w:type="paragraph" w:styleId="678">
    <w:name w:val="Footer"/>
    <w:basedOn w:val="644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basedOn w:val="654"/>
    <w:uiPriority w:val="99"/>
  </w:style>
  <w:style w:type="paragraph" w:styleId="680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1" w:customStyle="1">
    <w:name w:val="Нижній колонтитул Знак"/>
    <w:link w:val="678"/>
    <w:uiPriority w:val="99"/>
  </w:style>
  <w:style w:type="table" w:styleId="682">
    <w:name w:val="Table Grid"/>
    <w:basedOn w:val="65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3" w:customStyle="1">
    <w:name w:val="Table Grid Light"/>
    <w:basedOn w:val="6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4">
    <w:name w:val="Plain Table 1"/>
    <w:basedOn w:val="6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5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65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5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5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5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5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5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5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65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 w:customStyle="1">
    <w:name w:val="Grid Table 4 - Accent 1"/>
    <w:basedOn w:val="65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2" w:customStyle="1">
    <w:name w:val="Grid Table 4 - Accent 2"/>
    <w:basedOn w:val="65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3" w:customStyle="1">
    <w:name w:val="Grid Table 4 - Accent 3"/>
    <w:basedOn w:val="65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4" w:customStyle="1">
    <w:name w:val="Grid Table 4 - Accent 4"/>
    <w:basedOn w:val="65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5" w:customStyle="1">
    <w:name w:val="Grid Table 4 - Accent 5"/>
    <w:basedOn w:val="65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6" w:customStyle="1">
    <w:name w:val="Grid Table 4 - Accent 6"/>
    <w:basedOn w:val="65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7">
    <w:name w:val="Grid Table 5 Dark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1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2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3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4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5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6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4">
    <w:name w:val="Grid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5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6" w:customStyle="1">
    <w:name w:val="Grid Table 6 Colorful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7" w:customStyle="1">
    <w:name w:val="Grid Table 6 Colorful - Accent 3"/>
    <w:basedOn w:val="65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8" w:customStyle="1">
    <w:name w:val="Grid Table 6 Colorful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9" w:customStyle="1">
    <w:name w:val="Grid Table 6 Colorful - Accent 5"/>
    <w:basedOn w:val="65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0" w:customStyle="1">
    <w:name w:val="Grid Table 6 Colorful - Accent 6"/>
    <w:basedOn w:val="65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1">
    <w:name w:val="Grid Table 7 Colorful"/>
    <w:basedOn w:val="65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1"/>
    <w:basedOn w:val="65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5"/>
    <w:basedOn w:val="65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6"/>
    <w:basedOn w:val="65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>
    <w:name w:val="List Table 1 Light"/>
    <w:basedOn w:val="65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65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5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5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5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5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5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5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5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5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5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4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5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6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7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8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9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0">
    <w:name w:val="List Table 7 Colorful"/>
    <w:basedOn w:val="65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ned - Accent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Lined - Accent 1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9" w:customStyle="1">
    <w:name w:val="Lined - Accent 2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0" w:customStyle="1">
    <w:name w:val="Lined - Accent 3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1" w:customStyle="1">
    <w:name w:val="Lined - Accent 4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2" w:customStyle="1">
    <w:name w:val="Lined - Accent 5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3" w:customStyle="1">
    <w:name w:val="Lined - Accent 6"/>
    <w:basedOn w:val="655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4" w:customStyle="1">
    <w:name w:val="Bordered &amp; Lined - Accent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Bordered &amp; Lined - Accent 1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Bordered &amp; Lined - Accent 2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Bordered &amp; Lined - Accent 3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Bordered &amp; Lined - Accent 4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Bordered &amp; Lined - Accent 5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Bordered &amp; Lined - Accent 6"/>
    <w:basedOn w:val="655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"/>
    <w:basedOn w:val="65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2" w:customStyle="1">
    <w:name w:val="Bordered - Accent 1"/>
    <w:basedOn w:val="65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3" w:customStyle="1">
    <w:name w:val="Bordered - Accent 2"/>
    <w:basedOn w:val="65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4" w:customStyle="1">
    <w:name w:val="Bordered - Accent 3"/>
    <w:basedOn w:val="65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5" w:customStyle="1">
    <w:name w:val="Bordered - Accent 4"/>
    <w:basedOn w:val="65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6" w:customStyle="1">
    <w:name w:val="Bordered - Accent 5"/>
    <w:basedOn w:val="65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7" w:customStyle="1">
    <w:name w:val="Bordered - Accent 6"/>
    <w:basedOn w:val="65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563c1" w:themeColor="hyperlink"/>
      <w:u w:val="single"/>
    </w:rPr>
  </w:style>
  <w:style w:type="paragraph" w:styleId="809">
    <w:name w:val="footnote text"/>
    <w:basedOn w:val="644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 w:customStyle="1">
    <w:name w:val="Текст виноски Знак"/>
    <w:link w:val="809"/>
    <w:uiPriority w:val="99"/>
    <w:rPr>
      <w:sz w:val="18"/>
    </w:rPr>
  </w:style>
  <w:style w:type="character" w:styleId="811">
    <w:name w:val="footnote reference"/>
    <w:basedOn w:val="654"/>
    <w:uiPriority w:val="99"/>
    <w:unhideWhenUsed/>
    <w:rPr>
      <w:vertAlign w:val="superscript"/>
    </w:rPr>
  </w:style>
  <w:style w:type="paragraph" w:styleId="812">
    <w:name w:val="endnote text"/>
    <w:basedOn w:val="644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 w:customStyle="1">
    <w:name w:val="Текст кінцевої виноски Знак"/>
    <w:link w:val="812"/>
    <w:uiPriority w:val="99"/>
    <w:rPr>
      <w:sz w:val="20"/>
    </w:rPr>
  </w:style>
  <w:style w:type="character" w:styleId="814">
    <w:name w:val="endnote reference"/>
    <w:basedOn w:val="654"/>
    <w:uiPriority w:val="99"/>
    <w:semiHidden/>
    <w:unhideWhenUsed/>
    <w:rPr>
      <w:vertAlign w:val="superscript"/>
    </w:rPr>
  </w:style>
  <w:style w:type="paragraph" w:styleId="815">
    <w:name w:val="toc 1"/>
    <w:basedOn w:val="644"/>
    <w:next w:val="644"/>
    <w:uiPriority w:val="39"/>
    <w:unhideWhenUsed/>
    <w:pPr>
      <w:spacing w:after="57"/>
    </w:pPr>
  </w:style>
  <w:style w:type="paragraph" w:styleId="816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7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8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9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20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1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2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3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4"/>
    <w:next w:val="644"/>
    <w:uiPriority w:val="99"/>
    <w:unhideWhenUsed/>
    <w:pPr>
      <w:spacing w:after="0"/>
    </w:pPr>
  </w:style>
  <w:style w:type="paragraph" w:styleId="826">
    <w:name w:val="Balloon Text"/>
    <w:basedOn w:val="644"/>
    <w:link w:val="82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7" w:customStyle="1">
    <w:name w:val="Текст у виносці Знак"/>
    <w:basedOn w:val="654"/>
    <w:link w:val="82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28" w:customStyle="1">
    <w:name w:val="Ju_Title"/>
    <w:basedOn w:val="644"/>
    <w:next w:val="644"/>
    <w:uiPriority w:val="38"/>
    <w:qFormat/>
    <w:pPr>
      <w:contextualSpacing/>
      <w:jc w:val="center"/>
      <w:keepLines/>
      <w:keepNext/>
      <w:spacing w:before="1320" w:after="280" w:line="240" w:lineRule="auto"/>
    </w:pPr>
    <w:rPr>
      <w:b/>
      <w:sz w:val="24"/>
      <w:szCs w:val="24"/>
      <w:lang w:val="en-GB"/>
    </w:rPr>
  </w:style>
  <w:style w:type="character" w:styleId="829" w:customStyle="1">
    <w:name w:val="Ju_Para Car"/>
    <w:link w:val="830"/>
    <w:rPr>
      <w:rFonts w:ascii="Times New Roman" w:hAnsi="Times New Roman" w:cs="Times New Roman" w:eastAsiaTheme="minorEastAsia"/>
      <w:sz w:val="24"/>
      <w:lang w:val="en-US"/>
    </w:rPr>
  </w:style>
  <w:style w:type="paragraph" w:styleId="830" w:customStyle="1">
    <w:name w:val="ECHR_Para"/>
    <w:basedOn w:val="644"/>
    <w:link w:val="829"/>
    <w:qFormat/>
    <w:pPr>
      <w:ind w:firstLine="284"/>
      <w:jc w:val="both"/>
      <w:spacing w:after="0" w:line="240" w:lineRule="auto"/>
    </w:pPr>
    <w:rPr>
      <w:rFonts w:ascii="Times New Roman" w:hAnsi="Times New Roman" w:cs="Times New Roman" w:eastAsiaTheme="minorEastAsia"/>
      <w:sz w:val="24"/>
      <w:szCs w:val="20"/>
      <w:lang w:val="en-US" w:eastAsia="ru-RU"/>
    </w:rPr>
  </w:style>
  <w:style w:type="paragraph" w:styleId="831" w:customStyle="1">
    <w:name w:val="Ju_List"/>
    <w:basedOn w:val="644"/>
    <w:uiPriority w:val="23"/>
    <w:qFormat/>
    <w:pPr>
      <w:numPr>
        <w:numId w:val="5"/>
      </w:numPr>
      <w:jc w:val="both"/>
      <w:spacing w:before="280" w:after="60" w:line="240" w:lineRule="auto"/>
    </w:pPr>
    <w:rPr>
      <w:sz w:val="24"/>
      <w:szCs w:val="24"/>
      <w:lang w:val="en-GB"/>
    </w:rPr>
  </w:style>
  <w:style w:type="paragraph" w:styleId="832" w:customStyle="1">
    <w:name w:val="Ju_List_a"/>
    <w:basedOn w:val="644"/>
    <w:uiPriority w:val="23"/>
    <w:pPr>
      <w:numPr>
        <w:ilvl w:val="1"/>
        <w:numId w:val="5"/>
      </w:numPr>
      <w:jc w:val="both"/>
      <w:spacing w:after="0" w:line="240" w:lineRule="auto"/>
    </w:pPr>
    <w:rPr>
      <w:sz w:val="24"/>
      <w:szCs w:val="24"/>
      <w:lang w:val="en-GB"/>
    </w:rPr>
  </w:style>
  <w:style w:type="paragraph" w:styleId="833" w:customStyle="1">
    <w:name w:val="Ju_List_i"/>
    <w:basedOn w:val="644"/>
    <w:uiPriority w:val="23"/>
    <w:pPr>
      <w:numPr>
        <w:ilvl w:val="2"/>
        <w:numId w:val="5"/>
      </w:numPr>
      <w:jc w:val="both"/>
      <w:spacing w:after="0" w:line="240" w:lineRule="auto"/>
    </w:pPr>
    <w:rPr>
      <w:sz w:val="24"/>
      <w:szCs w:val="24"/>
      <w:lang w:val="en-GB"/>
    </w:rPr>
  </w:style>
  <w:style w:type="numbering" w:styleId="834" w:customStyle="1">
    <w:name w:val="ECHR_A1_Style_List"/>
    <w:basedOn w:val="656"/>
    <w:uiPriority w:val="99"/>
    <w:pPr>
      <w:numPr>
        <w:numId w:val="4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Борсук Ольга Миколаївна</cp:lastModifiedBy>
  <cp:revision>3</cp:revision>
  <dcterms:created xsi:type="dcterms:W3CDTF">2023-06-09T06:54:00Z</dcterms:created>
  <dcterms:modified xsi:type="dcterms:W3CDTF">2023-06-09T17:01:03Z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AE93FE296934427682B5CF1CB7D8F9F9</vt:lpwstr>
  </property>
</Properties>
</file>