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76" w:right="376"/>
        <w:jc w:val="center"/>
        <w:spacing w:before="125" w:after="125"/>
        <w:shd w:val="clear" w:color="auto" w:fill="ffffff"/>
        <w:rPr>
          <w:sz w:val="20"/>
          <w:szCs w:val="20"/>
        </w:rPr>
      </w:pPr>
      <w:r>
        <w:rPr>
          <w:b/>
          <w:bCs/>
          <w:sz w:val="28"/>
        </w:rPr>
        <w:t xml:space="preserve">ПОЯСНЮВАЛЬНА ЗАПИСКА</w:t>
      </w:r>
      <w:r>
        <w:rPr>
          <w:sz w:val="20"/>
          <w:szCs w:val="20"/>
        </w:rPr>
        <w:br/>
      </w:r>
      <w:r>
        <w:rPr>
          <w:b/>
          <w:bCs/>
          <w:sz w:val="28"/>
        </w:rPr>
        <w:t xml:space="preserve">до проекту </w:t>
      </w:r>
      <w:r>
        <w:rPr>
          <w:b/>
          <w:bCs/>
          <w:sz w:val="28"/>
        </w:rPr>
        <w:t xml:space="preserve">постанови Кабінету Міністрів України «</w:t>
      </w:r>
      <w:r>
        <w:rPr>
          <w:b/>
          <w:bCs/>
          <w:sz w:val="28"/>
          <w:szCs w:val="28"/>
        </w:rPr>
        <w:t xml:space="preserve">Про внесення змін до деяких постанов Кабінету Міністрів України</w:t>
      </w:r>
      <w:r>
        <w:rPr>
          <w:b/>
          <w:bCs/>
          <w:sz w:val="28"/>
          <w:szCs w:val="28"/>
        </w:rPr>
        <w:t xml:space="preserve"> з питань дозвільної системи</w:t>
      </w:r>
      <w:r>
        <w:rPr>
          <w:b/>
          <w:bCs/>
          <w:sz w:val="28"/>
          <w:szCs w:val="28"/>
        </w:rPr>
        <w:t xml:space="preserve">»</w:t>
      </w:r>
      <w:r/>
    </w:p>
    <w:p>
      <w:pPr>
        <w:ind w:firstLine="567"/>
        <w:jc w:val="both"/>
        <w:shd w:val="clear" w:color="auto" w:fill="ffffff"/>
        <w:rPr>
          <w:b/>
          <w:bCs/>
          <w:sz w:val="28"/>
          <w:szCs w:val="28"/>
        </w:rPr>
      </w:pPr>
      <w:r/>
      <w:bookmarkStart w:id="0" w:name="n3485"/>
      <w:r/>
      <w:bookmarkEnd w:id="0"/>
      <w:r/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Мета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1" w:name="n3486"/>
      <w:r/>
      <w:bookmarkEnd w:id="1"/>
      <w:r>
        <w:rPr>
          <w:sz w:val="28"/>
          <w:szCs w:val="28"/>
        </w:rPr>
        <w:t xml:space="preserve">Метою</w:t>
      </w:r>
      <w:r>
        <w:rPr>
          <w:sz w:val="28"/>
          <w:szCs w:val="28"/>
        </w:rPr>
        <w:t xml:space="preserve"> прийняття акта </w:t>
      </w:r>
      <w:r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приведення у відповідність до законодавства </w:t>
      </w:r>
      <w:r>
        <w:rPr>
          <w:sz w:val="28"/>
          <w:szCs w:val="28"/>
        </w:rPr>
        <w:t xml:space="preserve">нормативн</w:t>
      </w:r>
      <w:r>
        <w:rPr>
          <w:sz w:val="28"/>
          <w:szCs w:val="28"/>
        </w:rPr>
        <w:t xml:space="preserve">о-правов</w:t>
      </w:r>
      <w:r>
        <w:rPr>
          <w:sz w:val="28"/>
          <w:szCs w:val="28"/>
        </w:rPr>
        <w:t xml:space="preserve">их актів з питань 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ігу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предметів, матеріалів і речовин,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які поширюється дозвільна система органів внутрішніх справ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Обґрунтування необхідності прийняття акта</w:t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/>
      <w:bookmarkStart w:id="2" w:name="n3488"/>
      <w:r/>
      <w:bookmarkEnd w:id="2"/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роект</w:t>
      </w:r>
      <w:r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розроблено </w:t>
      </w:r>
      <w:r>
        <w:rPr>
          <w:sz w:val="28"/>
          <w:szCs w:val="28"/>
        </w:rPr>
        <w:t xml:space="preserve">Міністерством </w:t>
      </w:r>
      <w:r>
        <w:rPr>
          <w:sz w:val="28"/>
          <w:szCs w:val="28"/>
        </w:rPr>
        <w:t xml:space="preserve">внутрішніх справ України 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з вл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сно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 ініціатив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/>
      <w:bookmarkStart w:id="3" w:name="n3489"/>
      <w:r/>
      <w:bookmarkStart w:id="4" w:name="n3490"/>
      <w:r/>
      <w:bookmarkEnd w:id="3"/>
      <w:r/>
      <w:bookmarkEnd w:id="4"/>
      <w:r>
        <w:rPr>
          <w:sz w:val="28"/>
          <w:szCs w:val="28"/>
        </w:rPr>
        <w:t xml:space="preserve">Положення проекту акта спрямовані на вдосконалення </w:t>
      </w:r>
      <w:r>
        <w:rPr>
          <w:sz w:val="28"/>
          <w:szCs w:val="28"/>
        </w:rPr>
        <w:t xml:space="preserve">нормативно-правової бази з питань обігу предметів, матеріалів і речовин, на які поширюється дозвільна система органів внутрішніх справ, та </w:t>
      </w:r>
      <w:r>
        <w:rPr>
          <w:sz w:val="28"/>
          <w:szCs w:val="28"/>
        </w:rPr>
        <w:t xml:space="preserve">наявних процедур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відповідних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органами (</w:t>
      </w:r>
      <w:r>
        <w:rPr>
          <w:sz w:val="28"/>
          <w:szCs w:val="28"/>
        </w:rPr>
        <w:t xml:space="preserve">підрозділами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поліції</w:t>
      </w:r>
      <w:r>
        <w:rPr>
          <w:sz w:val="28"/>
          <w:szCs w:val="28"/>
        </w:rPr>
        <w:t xml:space="preserve"> та суб’єктами господарювання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Основні положення проекту акта</w:t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/>
      <w:bookmarkStart w:id="5" w:name="n3491"/>
      <w:r/>
      <w:bookmarkEnd w:id="5"/>
      <w:r>
        <w:rPr>
          <w:sz w:val="28"/>
          <w:szCs w:val="28"/>
        </w:rPr>
        <w:t xml:space="preserve">Проектом акта вносяться зміни до</w:t>
      </w:r>
      <w:r>
        <w:rPr>
          <w:spacing w:val="-2"/>
          <w:sz w:val="28"/>
        </w:rPr>
        <w:t xml:space="preserve"> Положення про дозвільну систему, затвердженого постановою Кабінету Міністрів України від 12 жовтня 1992 року № 576, </w:t>
      </w:r>
      <w:r>
        <w:rPr>
          <w:sz w:val="28"/>
          <w:szCs w:val="28"/>
        </w:rPr>
        <w:t xml:space="preserve">Порядку продажу, придбання, реєстрації, обліку і застосування </w:t>
      </w:r>
      <w:r>
        <w:rPr>
          <w:spacing w:val="-2"/>
          <w:sz w:val="28"/>
        </w:rPr>
        <w:t xml:space="preserve">спеціальних засобів самооборони, заряджених речовинами сльозоточивої та дратівної дії, затвердженого постановою Кабінету Міністрів України від 07 вересня 1993 року № </w:t>
      </w:r>
      <w:r>
        <w:rPr>
          <w:sz w:val="28"/>
          <w:szCs w:val="28"/>
        </w:rPr>
        <w:t xml:space="preserve">706, </w:t>
      </w:r>
      <w:r>
        <w:rPr>
          <w:spacing w:val="-2"/>
          <w:sz w:val="28"/>
        </w:rPr>
        <w:t xml:space="preserve">Порядку придбання, зберігання, перевезення і використання спортивної зброї, боєприпасів до неї, утримання стрілецьких тирів, стрільбищ та стендів, затвердженого постановою Кабінету Міністрів України</w:t>
      </w:r>
      <w:r>
        <w:rPr>
          <w:spacing w:val="-2"/>
          <w:sz w:val="28"/>
        </w:rPr>
        <w:t xml:space="preserve"> від 27 грудня 2018 року № 1207</w:t>
      </w:r>
      <w:r>
        <w:rPr>
          <w:spacing w:val="-2"/>
          <w:sz w:val="28"/>
        </w:rPr>
        <w:t xml:space="preserve">.</w:t>
      </w:r>
      <w:r/>
    </w:p>
    <w:p>
      <w:pPr>
        <w:ind w:firstLine="567"/>
        <w:jc w:val="both"/>
        <w:shd w:val="clear" w:color="auto" w:fill="ffffff"/>
        <w:rPr>
          <w:b/>
          <w:bCs/>
          <w:sz w:val="28"/>
          <w:szCs w:val="28"/>
        </w:rPr>
      </w:pPr>
      <w:r/>
      <w:bookmarkStart w:id="6" w:name="n3492"/>
      <w:r/>
      <w:bookmarkEnd w:id="6"/>
      <w:r/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Правові аспекти</w:t>
      </w:r>
      <w:r/>
    </w:p>
    <w:p>
      <w:pPr>
        <w:ind w:firstLine="567"/>
        <w:jc w:val="both"/>
        <w:rPr>
          <w:spacing w:val="-2"/>
          <w:sz w:val="28"/>
        </w:rPr>
      </w:pPr>
      <w:r/>
      <w:bookmarkStart w:id="7" w:name="n3493"/>
      <w:r/>
      <w:bookmarkEnd w:id="7"/>
      <w:r>
        <w:rPr>
          <w:sz w:val="28"/>
          <w:szCs w:val="28"/>
          <w:shd w:val="clear" w:color="auto" w:fill="ffffff"/>
        </w:rPr>
        <w:t xml:space="preserve">У цій сфері правового регулювання діють </w:t>
      </w:r>
      <w:r>
        <w:rPr>
          <w:spacing w:val="-2"/>
          <w:sz w:val="28"/>
        </w:rPr>
        <w:t xml:space="preserve">постанови Кабінету Міністрів України від 12 жовтня 1992 року № 576 «Про затвердження Положення про дозвільну систему», від 07 вересня 1993 року № </w:t>
      </w:r>
      <w:r>
        <w:rPr>
          <w:sz w:val="28"/>
          <w:szCs w:val="28"/>
        </w:rPr>
        <w:t xml:space="preserve">706 «Про порядок продажу, придбання, реєстрації, обліку і застосування </w:t>
      </w:r>
      <w:r>
        <w:rPr>
          <w:spacing w:val="-2"/>
          <w:sz w:val="28"/>
        </w:rPr>
        <w:t xml:space="preserve">спеціальних засобів самооборо</w:t>
      </w:r>
      <w:r>
        <w:rPr>
          <w:spacing w:val="-2"/>
          <w:sz w:val="28"/>
        </w:rPr>
        <w:t xml:space="preserve">ни, заряджених речовинами сльозоточивої та дратівної дії», від 27 грудня 2018 року № 1207 «Про затвердження Порядку придбання, зберігання, перевезення і використання спортивної зброї, боєприпасів до неї, утримання стрілецьких тирів, стрільбищ та стендів». </w:t>
      </w:r>
      <w:r/>
    </w:p>
    <w:p>
      <w:pPr>
        <w:ind w:firstLine="567"/>
        <w:jc w:val="both"/>
      </w:pPr>
      <w:r/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/>
      <w:bookmarkStart w:id="8" w:name="n3494"/>
      <w:r/>
      <w:bookmarkEnd w:id="8"/>
      <w:r>
        <w:rPr>
          <w:b/>
          <w:bCs/>
          <w:sz w:val="28"/>
          <w:szCs w:val="28"/>
        </w:rPr>
        <w:t xml:space="preserve">5. Фінансово-економічне обґрунтування</w:t>
      </w:r>
      <w:r/>
    </w:p>
    <w:p>
      <w:pPr>
        <w:ind w:firstLine="567"/>
        <w:jc w:val="both"/>
        <w:shd w:val="clear" w:color="auto" w:fill="ffffff"/>
        <w:rPr>
          <w:sz w:val="28"/>
          <w:szCs w:val="28"/>
          <w:shd w:val="clear" w:color="auto" w:fill="ffffff"/>
        </w:rPr>
      </w:pPr>
      <w:r/>
      <w:bookmarkStart w:id="9" w:name="n3495"/>
      <w:r/>
      <w:bookmarkStart w:id="10" w:name="n3496"/>
      <w:r/>
      <w:bookmarkEnd w:id="9"/>
      <w:r/>
      <w:bookmarkEnd w:id="10"/>
      <w:r>
        <w:rPr>
          <w:sz w:val="28"/>
          <w:szCs w:val="28"/>
          <w:shd w:val="clear" w:color="auto" w:fill="ffffff"/>
        </w:rPr>
        <w:t xml:space="preserve">Реалізація проекту акта не потребуватиме додаткових фінансових витрат з державного чи місцевих бюджетів.</w:t>
      </w:r>
      <w:r/>
    </w:p>
    <w:p>
      <w:pPr>
        <w:ind w:firstLine="567"/>
        <w:jc w:val="both"/>
        <w:shd w:val="clear" w:color="auto" w:fill="ffffff"/>
        <w:rPr>
          <w:sz w:val="28"/>
        </w:rPr>
      </w:pPr>
      <w:r>
        <w:rPr>
          <w:sz w:val="28"/>
        </w:rPr>
      </w:r>
      <w:r/>
    </w:p>
    <w:p>
      <w:pPr>
        <w:ind w:firstLine="567"/>
        <w:jc w:val="both"/>
        <w:shd w:val="clear" w:color="auto" w:fill="ffffff"/>
        <w:rPr>
          <w:sz w:val="28"/>
        </w:rPr>
      </w:pPr>
      <w:r>
        <w:rPr>
          <w:sz w:val="28"/>
        </w:rPr>
      </w:r>
      <w:r/>
    </w:p>
    <w:p>
      <w:pPr>
        <w:ind w:firstLine="567"/>
        <w:jc w:val="both"/>
        <w:shd w:val="clear" w:color="auto" w:fill="ffffff"/>
        <w:rPr>
          <w:b/>
          <w:bCs/>
          <w:sz w:val="28"/>
        </w:rPr>
      </w:pPr>
      <w:r>
        <w:rPr>
          <w:b/>
          <w:bCs/>
          <w:sz w:val="28"/>
        </w:rPr>
        <w:t xml:space="preserve">6. Позиція заінтересованих сторін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11" w:name="n3497"/>
      <w:r/>
      <w:bookmarkEnd w:id="11"/>
      <w:r>
        <w:rPr>
          <w:sz w:val="28"/>
          <w:szCs w:val="28"/>
        </w:rPr>
        <w:t xml:space="preserve">Проект акта потребує проведення </w:t>
      </w:r>
      <w:hyperlink r:id="rId9" w:tooltip="https://mvs.gov.ua/uk/for_citizens/work-with-citizens/elektronni-konsultaciyi-z-gromadskistyu/informaciine-povidomlennya-pro-provedennya-elektronnix-konsultacii-z-gromadskistyu-shhodo-projektu-nakazu-mvs-ukrayini-pro-zatverdzennya-deyakix-normativno-pravovix-aktiv-z-pitan-organizaciyi-specialnogo-navcannya" w:history="1">
        <w:r>
          <w:rPr>
            <w:sz w:val="28"/>
            <w:szCs w:val="28"/>
          </w:rPr>
          <w:t xml:space="preserve">електронних консультацій з громадськістю</w:t>
        </w:r>
      </w:hyperlink>
      <w:r>
        <w:t xml:space="preserve"> </w:t>
      </w:r>
      <w:r>
        <w:rPr>
          <w:sz w:val="28"/>
          <w:szCs w:val="28"/>
        </w:rPr>
        <w:t xml:space="preserve">відповідно до </w:t>
      </w:r>
      <w:r>
        <w:rPr>
          <w:bCs/>
          <w:sz w:val="28"/>
          <w:szCs w:val="28"/>
        </w:rPr>
        <w:t xml:space="preserve">Закону України «Про засади державної регуляторної політики у сфері господарської діяльності», </w:t>
      </w:r>
      <w:r>
        <w:rPr>
          <w:sz w:val="28"/>
          <w:szCs w:val="28"/>
        </w:rPr>
        <w:t xml:space="preserve"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листопада 2010 року № 996</w:t>
      </w:r>
      <w:r>
        <w:rPr>
          <w:sz w:val="28"/>
          <w:szCs w:val="28"/>
        </w:rPr>
        <w:t xml:space="preserve">.</w:t>
      </w:r>
      <w:r/>
    </w:p>
    <w:p>
      <w:pPr>
        <w:pStyle w:val="680"/>
        <w:ind w:firstLine="567"/>
        <w:jc w:val="both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акта впливатиме на інтереси суб’єктів господарювання в частині </w:t>
      </w:r>
      <w:r>
        <w:rPr>
          <w:sz w:val="28"/>
          <w:szCs w:val="28"/>
          <w:lang w:val="uk-UA"/>
        </w:rPr>
        <w:t xml:space="preserve">здійснення господарської діяльності, на яку поширюється дозвільна система органів внутрішніх справ.</w:t>
      </w:r>
      <w:r/>
    </w:p>
    <w:p>
      <w:pPr>
        <w:pStyle w:val="680"/>
        <w:ind w:firstLine="567"/>
        <w:jc w:val="both"/>
        <w:spacing w:before="0" w:beforeAutospacing="0"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Проект акта не стосується питань функціонування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не стосується сфери компетенції Уповноваженого із захисту державної мови та не потребує погодження з ним.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не стосується сфери наукової та науково-технічної діяльності та на розгляд Наукового комітету Національної ради з питань розвитку науки і технологій не надсилався.</w:t>
      </w:r>
      <w:r/>
    </w:p>
    <w:p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Відповідно до Закону України «Про засади державної регуляторної політики у сфері господарської діяльності» </w:t>
      </w:r>
      <w:r>
        <w:rPr>
          <w:sz w:val="28"/>
          <w:szCs w:val="28"/>
        </w:rPr>
        <w:t xml:space="preserve">проект акта </w:t>
      </w:r>
      <w:r>
        <w:rPr>
          <w:spacing w:val="-2"/>
          <w:sz w:val="28"/>
          <w:szCs w:val="28"/>
        </w:rPr>
        <w:t xml:space="preserve">є регуляторним актом.</w:t>
      </w:r>
      <w:r/>
    </w:p>
    <w:p>
      <w:pPr>
        <w:pStyle w:val="687"/>
        <w:ind w:left="0" w:firstLine="567"/>
        <w:jc w:val="both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акта </w:t>
      </w:r>
      <w:r>
        <w:rPr>
          <w:sz w:val="28"/>
          <w:szCs w:val="28"/>
          <w:lang w:val="uk-UA"/>
        </w:rPr>
        <w:t xml:space="preserve">стосується питань інформатизації, розвитку інформаційного суспільства, надання адміністративних послуг або цифрового розвитку та потребує висновку Міністерства цифрової трансформації України про проведення цифрової експертизи.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</w:t>
      </w:r>
      <w:r>
        <w:rPr>
          <w:sz w:val="28"/>
          <w:szCs w:val="28"/>
        </w:rPr>
        <w:t xml:space="preserve"> потребує погодження з </w:t>
      </w:r>
      <w:r>
        <w:rPr>
          <w:sz w:val="28"/>
          <w:szCs w:val="28"/>
        </w:rPr>
        <w:t xml:space="preserve">Міністерством економіки України, </w:t>
      </w:r>
      <w:r>
        <w:rPr>
          <w:sz w:val="28"/>
          <w:szCs w:val="28"/>
        </w:rPr>
        <w:t xml:space="preserve">Міністерством молоді та спорту України, </w:t>
      </w:r>
      <w:r>
        <w:rPr>
          <w:sz w:val="28"/>
          <w:szCs w:val="28"/>
        </w:rPr>
        <w:t xml:space="preserve">Міністерством цифрової трансформації України, Національною поліцією України, Державною регуляторною службою України, Державною службою спеціального зв’язку та захисту інформації України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Державною службою України з питань праці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hd w:val="clear" w:color="auto" w:fill="ffffff"/>
        <w:rPr>
          <w:b/>
          <w:bCs/>
          <w:sz w:val="28"/>
          <w:szCs w:val="28"/>
        </w:rPr>
      </w:pPr>
      <w:r/>
      <w:bookmarkStart w:id="12" w:name="n3500"/>
      <w:r/>
      <w:bookmarkEnd w:id="12"/>
      <w:r/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Оцінка відповідності</w:t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/>
      <w:bookmarkStart w:id="13" w:name="n3501"/>
      <w:r/>
      <w:bookmarkStart w:id="14" w:name="n3509"/>
      <w:r/>
      <w:bookmarkEnd w:id="13"/>
      <w:r/>
      <w:bookmarkEnd w:id="14"/>
      <w:r>
        <w:rPr>
          <w:sz w:val="28"/>
          <w:szCs w:val="28"/>
          <w:shd w:val="clear" w:color="auto" w:fill="ffffff"/>
        </w:rPr>
        <w:t xml:space="preserve">У проект</w:t>
      </w:r>
      <w:r>
        <w:rPr>
          <w:sz w:val="28"/>
          <w:szCs w:val="28"/>
          <w:shd w:val="clear" w:color="auto" w:fill="ffffff"/>
        </w:rPr>
        <w:t xml:space="preserve">і</w:t>
      </w:r>
      <w:r>
        <w:rPr>
          <w:sz w:val="28"/>
          <w:szCs w:val="28"/>
          <w:shd w:val="clear" w:color="auto" w:fill="ffffff"/>
        </w:rPr>
        <w:t xml:space="preserve"> акта немає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</w:t>
      </w:r>
      <w:r>
        <w:rPr>
          <w:sz w:val="28"/>
          <w:szCs w:val="28"/>
          <w:shd w:val="clear" w:color="auto" w:fill="ffffff"/>
        </w:rPr>
        <w:t xml:space="preserve">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наказу МВС.</w:t>
      </w:r>
      <w:r/>
    </w:p>
    <w:p>
      <w:pPr>
        <w:ind w:firstLine="567"/>
        <w:jc w:val="both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Проект акта</w:t>
      </w:r>
      <w:r>
        <w:rPr>
          <w:sz w:val="28"/>
          <w:szCs w:val="28"/>
          <w:shd w:val="clear" w:color="auto" w:fill="ffffff"/>
        </w:rPr>
        <w:t xml:space="preserve"> не потребує проведення громадської антикорупційної, громадської </w:t>
      </w:r>
      <w:r>
        <w:rPr>
          <w:sz w:val="28"/>
          <w:szCs w:val="28"/>
          <w:shd w:val="clear" w:color="auto" w:fill="ffffff"/>
        </w:rPr>
        <w:t xml:space="preserve">антидискримінаційної</w:t>
      </w:r>
      <w:r>
        <w:rPr>
          <w:sz w:val="28"/>
          <w:szCs w:val="28"/>
          <w:shd w:val="clear" w:color="auto" w:fill="ffffff"/>
        </w:rPr>
        <w:t xml:space="preserve"> та/або громадської </w:t>
      </w:r>
      <w:r>
        <w:rPr>
          <w:sz w:val="28"/>
          <w:szCs w:val="28"/>
          <w:shd w:val="clear" w:color="auto" w:fill="ffffff"/>
        </w:rPr>
        <w:t xml:space="preserve">гендерно</w:t>
      </w:r>
      <w:r>
        <w:rPr>
          <w:sz w:val="28"/>
          <w:szCs w:val="28"/>
          <w:shd w:val="clear" w:color="auto" w:fill="ffffff"/>
        </w:rPr>
        <w:t xml:space="preserve">-правової експертиз.</w:t>
      </w:r>
      <w:r>
        <w:rPr>
          <w:sz w:val="28"/>
          <w:szCs w:val="28"/>
          <w:shd w:val="clear" w:color="auto" w:fill="ffffff"/>
        </w:rPr>
        <w:t xml:space="preserve"> </w:t>
      </w:r>
      <w:r/>
    </w:p>
    <w:p>
      <w:pPr>
        <w:ind w:firstLine="567"/>
        <w:jc w:val="both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визначення необхідності проведення антикорупційної експертизи проєкт акта буде надіслано до Національного агентства з питань запобігання корупції.</w:t>
      </w:r>
      <w:r/>
    </w:p>
    <w:p>
      <w:pPr>
        <w:ind w:firstLine="567"/>
        <w:jc w:val="both"/>
        <w:shd w:val="clear" w:color="auto" w:fill="ffffff"/>
      </w:pPr>
      <w:r/>
      <w:r/>
    </w:p>
    <w:p>
      <w:pPr>
        <w:ind w:firstLine="567"/>
        <w:jc w:val="both"/>
        <w:shd w:val="clear" w:color="auto" w:fill="ffffff"/>
      </w:pPr>
      <w:r>
        <w:rPr>
          <w:b/>
          <w:bCs/>
          <w:sz w:val="28"/>
          <w:szCs w:val="28"/>
          <w:shd w:val="clear" w:color="auto" w:fill="ffffff"/>
        </w:rPr>
        <w:t xml:space="preserve">8. Прогноз результатів</w:t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Реалізація </w:t>
      </w:r>
      <w:r>
        <w:rPr>
          <w:sz w:val="28"/>
          <w:szCs w:val="28"/>
        </w:rPr>
        <w:t xml:space="preserve">проекту акта</w:t>
      </w:r>
      <w:r>
        <w:rPr>
          <w:sz w:val="28"/>
          <w:szCs w:val="28"/>
        </w:rPr>
        <w:t xml:space="preserve"> сприятиме </w:t>
      </w:r>
      <w:r>
        <w:rPr>
          <w:sz w:val="28"/>
          <w:szCs w:val="28"/>
        </w:rPr>
        <w:t xml:space="preserve">вдосконаленню нормативно-правової бази з питань обігу предметів, матеріалів і речовин, на які поширюється дозвільна система органів внутрішніх справ, та наявних процедур надання відповідних послуг органами (підрозділами) поліції</w:t>
      </w:r>
      <w:r>
        <w:rPr>
          <w:sz w:val="28"/>
          <w:szCs w:val="28"/>
        </w:rPr>
        <w:t xml:space="preserve"> та суб’єктами господарювання</w:t>
      </w:r>
      <w:r>
        <w:rPr>
          <w:sz w:val="28"/>
          <w:szCs w:val="28"/>
        </w:rPr>
        <w:t xml:space="preserve">.</w:t>
      </w:r>
      <w:r/>
    </w:p>
    <w:p>
      <w:pPr>
        <w:jc w:val="both"/>
        <w:shd w:val="clear" w:color="auto" w:fill="ffffff"/>
      </w:pPr>
      <w:r/>
      <w:bookmarkStart w:id="15" w:name="_GoBack"/>
      <w:r/>
      <w:bookmarkEnd w:id="15"/>
      <w:r>
        <w:t xml:space="preserve"> </w:t>
      </w:r>
      <w:r/>
    </w:p>
    <w:tbl>
      <w:tblPr>
        <w:tblW w:w="9639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>
        <w:trPr>
          <w:trHeight w:val="845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4111" w:type="dxa"/>
            <w:textDirection w:val="lrTb"/>
            <w:noWrap w:val="false"/>
          </w:tcPr>
          <w:p>
            <w:pPr>
              <w:jc w:val="both"/>
              <w:spacing w:before="240"/>
              <w:shd w:val="clear" w:color="auto" w:fill="ffffff"/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Міністр </w:t>
            </w:r>
            <w:r/>
          </w:p>
          <w:p>
            <w:pPr>
              <w:jc w:val="both"/>
              <w:shd w:val="clear" w:color="auto" w:fill="ffffff"/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внутрішніх справ України</w:t>
            </w:r>
            <w:r/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5528" w:type="dxa"/>
            <w:textDirection w:val="lrTb"/>
            <w:noWrap w:val="false"/>
          </w:tcPr>
          <w:p>
            <w:pPr>
              <w:jc w:val="right"/>
              <w:spacing w:before="240"/>
              <w:shd w:val="clear" w:color="auto" w:fill="ffffff"/>
            </w:pPr>
            <w:r>
              <w:t xml:space="preserve"> </w:t>
            </w:r>
            <w:r/>
          </w:p>
          <w:p>
            <w:pPr>
              <w:jc w:val="right"/>
              <w:shd w:val="clear" w:color="auto" w:fill="ffffff"/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Ігор КЛИМЕНКО</w:t>
            </w:r>
            <w:r/>
          </w:p>
        </w:tc>
      </w:tr>
    </w:tbl>
    <w:p>
      <w:pPr>
        <w:rPr>
          <w:sz w:val="16"/>
          <w:szCs w:val="28"/>
          <w:shd w:val="clear" w:color="auto" w:fill="ffffff"/>
        </w:rPr>
      </w:pPr>
      <w:r>
        <w:rPr>
          <w:sz w:val="16"/>
          <w:szCs w:val="28"/>
          <w:shd w:val="clear" w:color="auto" w:fill="ffffff"/>
        </w:rPr>
      </w:r>
      <w:r/>
    </w:p>
    <w:p>
      <w:r>
        <w:rPr>
          <w:sz w:val="28"/>
          <w:szCs w:val="28"/>
          <w:shd w:val="clear" w:color="auto" w:fill="ffffff"/>
        </w:rPr>
        <w:t xml:space="preserve">____ ___________ 202</w:t>
      </w:r>
      <w:r>
        <w:rPr>
          <w:sz w:val="28"/>
          <w:szCs w:val="28"/>
          <w:shd w:val="clear" w:color="auto" w:fill="ffffff"/>
        </w:rPr>
        <w:t xml:space="preserve">3</w:t>
      </w:r>
      <w:r>
        <w:rPr>
          <w:sz w:val="28"/>
          <w:szCs w:val="28"/>
          <w:shd w:val="clear" w:color="auto" w:fill="ffffff"/>
        </w:rPr>
        <w:t xml:space="preserve"> року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6812704"/>
      <w:docPartObj>
        <w:docPartGallery w:val="Page Numbers (Top of Page)"/>
        <w:docPartUnique w:val="true"/>
      </w:docPartObj>
      <w:rPr/>
    </w:sdtPr>
    <w:sdtContent>
      <w:p>
        <w:pPr>
          <w:pStyle w:val="68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1"/>
    <w:link w:val="65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1"/>
    <w:link w:val="66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61"/>
    <w:link w:val="666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1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1"/>
    <w:link w:val="682"/>
    <w:uiPriority w:val="99"/>
  </w:style>
  <w:style w:type="character" w:styleId="44">
    <w:name w:val="Footer Char"/>
    <w:basedOn w:val="661"/>
    <w:link w:val="684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4"/>
    <w:uiPriority w:val="99"/>
  </w:style>
  <w:style w:type="table" w:styleId="47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1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1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sz w:val="24"/>
      <w:szCs w:val="24"/>
      <w:lang w:val="uk-UA"/>
    </w:rPr>
  </w:style>
  <w:style w:type="paragraph" w:styleId="659">
    <w:name w:val="Heading 1"/>
    <w:basedOn w:val="658"/>
    <w:next w:val="658"/>
    <w:link w:val="664"/>
    <w:qFormat/>
    <w:pPr>
      <w:keepNext/>
      <w:outlineLvl w:val="0"/>
    </w:pPr>
    <w:rPr>
      <w:b/>
      <w:bCs/>
    </w:rPr>
  </w:style>
  <w:style w:type="paragraph" w:styleId="660">
    <w:name w:val="Heading 2"/>
    <w:basedOn w:val="658"/>
    <w:next w:val="658"/>
    <w:link w:val="665"/>
    <w:qFormat/>
    <w:pPr>
      <w:jc w:val="center"/>
      <w:keepNext/>
      <w:outlineLvl w:val="1"/>
    </w:pPr>
    <w:rPr>
      <w:b/>
      <w:bCs/>
      <w:sz w:val="22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9"/>
    <w:rPr>
      <w:b/>
      <w:bCs/>
      <w:sz w:val="24"/>
      <w:szCs w:val="24"/>
      <w:lang w:val="uk-UA"/>
    </w:rPr>
  </w:style>
  <w:style w:type="character" w:styleId="665" w:customStyle="1">
    <w:name w:val="Заголовок 2 Знак"/>
    <w:basedOn w:val="661"/>
    <w:link w:val="660"/>
    <w:rPr>
      <w:b/>
      <w:bCs/>
      <w:sz w:val="22"/>
      <w:szCs w:val="24"/>
      <w:lang w:val="uk-UA"/>
    </w:rPr>
  </w:style>
  <w:style w:type="paragraph" w:styleId="666">
    <w:name w:val="Title"/>
    <w:basedOn w:val="658"/>
    <w:link w:val="667"/>
    <w:qFormat/>
    <w:pPr>
      <w:jc w:val="center"/>
    </w:pPr>
    <w:rPr>
      <w:b/>
    </w:rPr>
  </w:style>
  <w:style w:type="character" w:styleId="667" w:customStyle="1">
    <w:name w:val="Заголовок Знак"/>
    <w:basedOn w:val="661"/>
    <w:link w:val="666"/>
    <w:rPr>
      <w:b/>
      <w:sz w:val="24"/>
      <w:szCs w:val="24"/>
    </w:rPr>
  </w:style>
  <w:style w:type="character" w:styleId="668">
    <w:name w:val="Emphasis"/>
    <w:basedOn w:val="661"/>
    <w:qFormat/>
    <w:rPr>
      <w:i/>
      <w:iCs/>
    </w:rPr>
  </w:style>
  <w:style w:type="paragraph" w:styleId="669" w:customStyle="1">
    <w:name w:val="rvps7"/>
    <w:basedOn w:val="658"/>
    <w:pPr>
      <w:spacing w:before="100" w:beforeAutospacing="1" w:after="100" w:afterAutospacing="1"/>
    </w:pPr>
    <w:rPr>
      <w:lang w:val="ru-RU"/>
    </w:rPr>
  </w:style>
  <w:style w:type="character" w:styleId="670" w:customStyle="1">
    <w:name w:val="rvts15"/>
    <w:basedOn w:val="661"/>
  </w:style>
  <w:style w:type="character" w:styleId="671" w:customStyle="1">
    <w:name w:val="rvts82"/>
    <w:basedOn w:val="661"/>
  </w:style>
  <w:style w:type="paragraph" w:styleId="672" w:customStyle="1">
    <w:name w:val="rvps2"/>
    <w:basedOn w:val="658"/>
    <w:pPr>
      <w:spacing w:before="100" w:beforeAutospacing="1" w:after="100" w:afterAutospacing="1"/>
    </w:pPr>
    <w:rPr>
      <w:lang w:val="ru-RU"/>
    </w:rPr>
  </w:style>
  <w:style w:type="character" w:styleId="673" w:customStyle="1">
    <w:name w:val="rvts9"/>
    <w:basedOn w:val="661"/>
  </w:style>
  <w:style w:type="character" w:styleId="674">
    <w:name w:val="Hyperlink"/>
    <w:basedOn w:val="661"/>
    <w:uiPriority w:val="99"/>
    <w:semiHidden/>
    <w:unhideWhenUsed/>
    <w:rPr>
      <w:color w:val="0000ff"/>
      <w:u w:val="single"/>
    </w:rPr>
  </w:style>
  <w:style w:type="paragraph" w:styleId="675" w:customStyle="1">
    <w:name w:val="rvps12"/>
    <w:basedOn w:val="658"/>
    <w:pPr>
      <w:spacing w:before="100" w:beforeAutospacing="1" w:after="100" w:afterAutospacing="1"/>
    </w:pPr>
    <w:rPr>
      <w:lang w:val="ru-RU"/>
    </w:rPr>
  </w:style>
  <w:style w:type="character" w:styleId="676" w:customStyle="1">
    <w:name w:val="rvts13"/>
    <w:basedOn w:val="661"/>
  </w:style>
  <w:style w:type="paragraph" w:styleId="677" w:customStyle="1">
    <w:name w:val="rvps1"/>
    <w:basedOn w:val="658"/>
    <w:pPr>
      <w:spacing w:before="100" w:beforeAutospacing="1" w:after="100" w:afterAutospacing="1"/>
    </w:pPr>
    <w:rPr>
      <w:lang w:val="ru-RU"/>
    </w:rPr>
  </w:style>
  <w:style w:type="character" w:styleId="678" w:customStyle="1">
    <w:name w:val="rvts11"/>
    <w:basedOn w:val="661"/>
  </w:style>
  <w:style w:type="paragraph" w:styleId="679" w:customStyle="1">
    <w:name w:val="rvps8"/>
    <w:basedOn w:val="658"/>
    <w:pPr>
      <w:spacing w:before="100" w:beforeAutospacing="1" w:after="100" w:afterAutospacing="1"/>
    </w:pPr>
    <w:rPr>
      <w:lang w:val="ru-RU"/>
    </w:rPr>
  </w:style>
  <w:style w:type="paragraph" w:styleId="680">
    <w:name w:val="Normal (Web)"/>
    <w:basedOn w:val="658"/>
    <w:uiPriority w:val="99"/>
    <w:unhideWhenUsed/>
    <w:pPr>
      <w:spacing w:before="100" w:beforeAutospacing="1" w:after="100" w:afterAutospacing="1"/>
    </w:pPr>
    <w:rPr>
      <w:lang w:val="ru-RU"/>
    </w:rPr>
  </w:style>
  <w:style w:type="character" w:styleId="681" w:customStyle="1">
    <w:name w:val="apple-tab-span"/>
    <w:basedOn w:val="661"/>
  </w:style>
  <w:style w:type="paragraph" w:styleId="682">
    <w:name w:val="Header"/>
    <w:basedOn w:val="658"/>
    <w:link w:val="6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basedOn w:val="661"/>
    <w:link w:val="682"/>
    <w:uiPriority w:val="99"/>
    <w:rPr>
      <w:sz w:val="24"/>
      <w:szCs w:val="24"/>
      <w:lang w:val="uk-UA"/>
    </w:rPr>
  </w:style>
  <w:style w:type="paragraph" w:styleId="684">
    <w:name w:val="Footer"/>
    <w:basedOn w:val="658"/>
    <w:link w:val="6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5" w:customStyle="1">
    <w:name w:val="Нижний колонтитул Знак"/>
    <w:basedOn w:val="661"/>
    <w:link w:val="684"/>
    <w:uiPriority w:val="99"/>
    <w:semiHidden/>
    <w:rPr>
      <w:sz w:val="24"/>
      <w:szCs w:val="24"/>
      <w:lang w:val="uk-UA"/>
    </w:rPr>
  </w:style>
  <w:style w:type="character" w:styleId="686" w:customStyle="1">
    <w:name w:val="Основной текст (2)_"/>
    <w:link w:val="687"/>
    <w:rPr>
      <w:sz w:val="36"/>
      <w:szCs w:val="36"/>
    </w:rPr>
  </w:style>
  <w:style w:type="paragraph" w:styleId="687" w:customStyle="1">
    <w:name w:val="Основной текст (2)"/>
    <w:basedOn w:val="658"/>
    <w:link w:val="686"/>
    <w:pPr>
      <w:ind w:left="180" w:firstLine="1180"/>
      <w:spacing w:line="244" w:lineRule="auto"/>
      <w:widowControl w:val="off"/>
    </w:pPr>
    <w:rPr>
      <w:sz w:val="36"/>
      <w:szCs w:val="3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https://mvs.gov.ua/uk/for_citizens/work-with-citizens/elektronni-konsultaciyi-z-gromadskistyu/informaciine-povidomlennya-pro-provedennya-elektronnix-konsultacii-z-gromadskistyu-shhodo-projektu-nakazu-mvs-ukrayini-pro-zatverdzennya-deyakix-normativno-pravovix-aktiv-z-pitan-organizaciyi-specialnogo-navcanny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Гонтар Марина Трохимівна</cp:lastModifiedBy>
  <cp:revision>6</cp:revision>
  <dcterms:created xsi:type="dcterms:W3CDTF">2023-04-26T14:09:00Z</dcterms:created>
  <dcterms:modified xsi:type="dcterms:W3CDTF">2023-04-27T09:01:25Z</dcterms:modified>
</cp:coreProperties>
</file>