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szCs w:val="28"/>
        </w:rPr>
        <w:t xml:space="preserve">АНАЛІЗ РЕГУЛЯТОРНОГО ВПЛИВУ</w:t>
      </w:r>
      <w:r/>
    </w:p>
    <w:p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</w:t>
      </w:r>
      <w:r>
        <w:rPr>
          <w:b/>
          <w:bCs/>
          <w:lang w:eastAsia="uk-UA"/>
        </w:rPr>
        <w:t xml:space="preserve">ро</w:t>
      </w:r>
      <w:r>
        <w:rPr>
          <w:b/>
          <w:bCs/>
          <w:lang w:eastAsia="uk-UA"/>
        </w:rPr>
        <w:t xml:space="preserve">є</w:t>
      </w:r>
      <w:r>
        <w:rPr>
          <w:b/>
          <w:bCs/>
          <w:lang w:eastAsia="uk-UA"/>
        </w:rPr>
        <w:t xml:space="preserve">кту</w:t>
      </w:r>
      <w:r>
        <w:rPr>
          <w:b/>
          <w:bCs/>
          <w:lang w:eastAsia="uk-UA"/>
        </w:rPr>
        <w:t xml:space="preserve"> </w:t>
      </w:r>
      <w:r>
        <w:rPr>
          <w:b/>
          <w:bCs/>
        </w:rPr>
        <w:t xml:space="preserve">постанови Кабінету Міністрів України «</w:t>
      </w:r>
      <w:r>
        <w:rPr>
          <w:b/>
          <w:bCs/>
          <w:szCs w:val="28"/>
        </w:rPr>
        <w:t xml:space="preserve">Про внесення змін до деяких постанов Кабінету Міністрів України</w:t>
      </w:r>
      <w:r>
        <w:rPr>
          <w:b/>
          <w:bCs/>
          <w:szCs w:val="28"/>
        </w:rPr>
        <w:t xml:space="preserve"> з питань дозвільної системи</w:t>
      </w:r>
      <w:r>
        <w:rPr>
          <w:b/>
          <w:bCs/>
          <w:szCs w:val="28"/>
        </w:rPr>
        <w:t xml:space="preserve">»</w:t>
      </w:r>
      <w:r/>
    </w:p>
    <w:p>
      <w:pPr>
        <w:ind w:firstLine="567"/>
        <w:rPr>
          <w:b/>
          <w:bCs/>
        </w:rPr>
      </w:pPr>
      <w:r>
        <w:rPr>
          <w:b/>
          <w:bCs/>
        </w:rPr>
      </w:r>
      <w:r/>
    </w:p>
    <w:p>
      <w:pPr>
        <w:ind w:firstLine="567"/>
        <w:rPr>
          <w:b/>
          <w:bCs/>
        </w:rPr>
      </w:pPr>
      <w:r>
        <w:rPr>
          <w:b/>
          <w:bCs/>
        </w:rPr>
        <w:t xml:space="preserve">І</w:t>
      </w:r>
      <w:r>
        <w:rPr>
          <w:b/>
          <w:bCs/>
        </w:rPr>
        <w:t xml:space="preserve">.</w:t>
      </w:r>
      <w:r>
        <w:rPr>
          <w:b/>
          <w:bCs/>
        </w:rPr>
        <w:t xml:space="preserve"> Визначення </w:t>
      </w:r>
      <w:r>
        <w:rPr>
          <w:b/>
          <w:bCs/>
        </w:rPr>
        <w:t xml:space="preserve">проблеми</w:t>
      </w:r>
      <w:r/>
    </w:p>
    <w:p>
      <w:pPr>
        <w:ind w:firstLine="567"/>
        <w:jc w:val="both"/>
        <w:rPr>
          <w:shd w:val="clear" w:color="auto" w:fill="ededed"/>
        </w:rPr>
      </w:pPr>
      <w:r>
        <w:rPr>
          <w:shd w:val="clear" w:color="auto" w:fill="ededed"/>
        </w:rPr>
      </w:r>
      <w:r/>
    </w:p>
    <w:p>
      <w:pPr>
        <w:ind w:firstLine="567"/>
        <w:jc w:val="both"/>
        <w:rPr>
          <w:shd w:val="clear" w:color="auto" w:fill="ffffff"/>
        </w:rPr>
      </w:pPr>
      <w:r>
        <w:rPr>
          <w:rFonts w:eastAsia="Calibri"/>
          <w:szCs w:val="28"/>
        </w:rPr>
        <w:t xml:space="preserve">Відповідно до пункту 21 частини першої статті 23 Закону України «Про Національну поліцію» (далі – Закон) п</w:t>
      </w:r>
      <w:r>
        <w:rPr>
          <w:shd w:val="clear" w:color="auto" w:fill="ffffff"/>
        </w:rPr>
        <w:t xml:space="preserve">оліція відповідно до покладених на неї завдань здійснює контроль за дотриманням фізичними та юридичними особами спеціальних правил </w:t>
      </w:r>
      <w:r>
        <w:rPr>
          <w:shd w:val="clear" w:color="auto" w:fill="ffffff"/>
        </w:rPr>
        <w:t xml:space="preserve">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та речовин, на які поширюється дозвільна система органів внутрішніх справ.</w:t>
      </w:r>
      <w:r/>
    </w:p>
    <w:p>
      <w:pPr>
        <w:ind w:firstLine="567"/>
        <w:jc w:val="both"/>
        <w:rPr>
          <w:shd w:val="clear" w:color="auto" w:fill="ffffff"/>
        </w:rPr>
      </w:pPr>
      <w:r>
        <w:rPr>
          <w:szCs w:val="28"/>
        </w:rPr>
        <w:t xml:space="preserve">Наказом Міністерства внутрішніх справ України від 21 серпня 1998 року №</w:t>
      </w:r>
      <w:r>
        <w:rPr>
          <w:szCs w:val="28"/>
          <w:lang w:val="ru-RU"/>
        </w:rPr>
        <w:t xml:space="preserve"> </w:t>
      </w:r>
      <w:r>
        <w:rPr>
          <w:szCs w:val="28"/>
        </w:rPr>
        <w:t xml:space="preserve">622 затверджено </w:t>
      </w:r>
      <w:r>
        <w:rPr>
          <w:szCs w:val="28"/>
        </w:rPr>
        <w:t xml:space="preserve">Інструкцією про порядок виготовлення, придбання, зберігання, обліку, перевезення та використання вогнепальної, пневматичної, холодної і </w:t>
      </w:r>
      <w:r>
        <w:rPr>
          <w:szCs w:val="28"/>
        </w:rPr>
        <w:t xml:space="preserve">охолощеної</w:t>
      </w:r>
      <w:r>
        <w:rPr>
          <w:szCs w:val="28"/>
        </w:rPr>
        <w:t xml:space="preserve"> зброї, пристроїв вітчизняного виро</w:t>
      </w:r>
      <w:r>
        <w:rPr>
          <w:szCs w:val="28"/>
        </w:rPr>
        <w:t xml:space="preserve">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матеріалів, затвердженою, зареєстрован</w:t>
      </w:r>
      <w:r>
        <w:rPr>
          <w:szCs w:val="28"/>
        </w:rPr>
        <w:t xml:space="preserve">у</w:t>
      </w:r>
      <w:r>
        <w:rPr>
          <w:szCs w:val="28"/>
        </w:rPr>
        <w:t xml:space="preserve"> в Міністерстві юстиції України 07 жовтня 1998</w:t>
      </w:r>
      <w:r>
        <w:rPr>
          <w:szCs w:val="28"/>
          <w:lang w:val="ru-RU"/>
        </w:rPr>
        <w:t xml:space="preserve"> </w:t>
      </w:r>
      <w:bookmarkStart w:id="0" w:name="_GoBack"/>
      <w:r/>
      <w:bookmarkEnd w:id="0"/>
      <w:r>
        <w:rPr>
          <w:szCs w:val="28"/>
        </w:rPr>
        <w:t xml:space="preserve">року за № 637/3077</w:t>
      </w:r>
      <w:r>
        <w:rPr>
          <w:szCs w:val="28"/>
        </w:rPr>
        <w:t xml:space="preserve">.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13 грудня 2022 року за № 1581/38917 у Міністерстві юстиції України</w:t>
      </w:r>
      <w:r>
        <w:rPr>
          <w:szCs w:val="28"/>
        </w:rPr>
        <w:t xml:space="preserve"> зареєстровано наказ Міністерства внутрішніх справ України від 19 вересня 2022 року № 590 «Про внесення змін до наказу Міністерства внутрішніх справ України від 21 серпня 1998 року № 622». Цим нормативно-правовим актом змінено, шляхом ц</w:t>
      </w:r>
      <w:r>
        <w:rPr>
          <w:szCs w:val="28"/>
        </w:rPr>
        <w:t xml:space="preserve">ифровізації та автоматизації, діючі процедури видачі фізичним і юридичним особам дозволів на придбання, зберігання, носіння, використання та перевезення мисливської вогнепальної зброї, основних частин зброї, боєприпасів до неї, пристроїв та патронів до них</w:t>
      </w:r>
      <w:r>
        <w:rPr>
          <w:szCs w:val="28"/>
        </w:rPr>
        <w:t xml:space="preserve">.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Водночас, </w:t>
      </w:r>
      <w:r>
        <w:rPr>
          <w:szCs w:val="28"/>
        </w:rPr>
        <w:t xml:space="preserve">в Україні </w:t>
      </w:r>
      <w:r>
        <w:rPr>
          <w:szCs w:val="28"/>
        </w:rPr>
        <w:t xml:space="preserve">у сфері дозвільної системи діють ряд нормативно-правових актів, затверджених </w:t>
      </w:r>
      <w:r>
        <w:rPr>
          <w:szCs w:val="28"/>
        </w:rPr>
        <w:t xml:space="preserve">актами </w:t>
      </w:r>
      <w:r>
        <w:rPr>
          <w:szCs w:val="28"/>
        </w:rPr>
        <w:t xml:space="preserve">Уряд</w:t>
      </w:r>
      <w:r>
        <w:rPr>
          <w:szCs w:val="28"/>
        </w:rPr>
        <w:t xml:space="preserve">у</w:t>
      </w:r>
      <w:r>
        <w:rPr>
          <w:szCs w:val="28"/>
        </w:rPr>
        <w:t xml:space="preserve">, які потребують внесення змін з метою </w:t>
      </w:r>
      <w:r>
        <w:rPr>
          <w:szCs w:val="28"/>
        </w:rPr>
        <w:t xml:space="preserve">визначення механізму надання органами (підрозділами) поліції </w:t>
      </w:r>
      <w:r>
        <w:rPr>
          <w:szCs w:val="28"/>
        </w:rPr>
        <w:t xml:space="preserve">та суб’єктами господарювання </w:t>
      </w:r>
      <w:r>
        <w:rPr>
          <w:szCs w:val="28"/>
        </w:rPr>
        <w:t xml:space="preserve">відповідних послуг у сфері обігу предметів, матеріалів і речовин, на які поширюється дозвільна система органів внутрішніх справ.  </w:t>
      </w:r>
      <w:r/>
    </w:p>
    <w:p>
      <w:pPr>
        <w:ind w:firstLine="567"/>
        <w:jc w:val="both"/>
        <w:rPr>
          <w:szCs w:val="28"/>
        </w:rPr>
      </w:pPr>
      <w:r>
        <w:rPr>
          <w:spacing w:val="-2"/>
        </w:rPr>
        <w:t xml:space="preserve">Це стосується </w:t>
      </w:r>
      <w:r>
        <w:rPr>
          <w:spacing w:val="-2"/>
        </w:rPr>
        <w:t xml:space="preserve">Положення про дозвільну систему, затвердженого постановою Кабінету Міністрів України від 12 жовтня 1992 року № 576, </w:t>
      </w:r>
      <w:r>
        <w:rPr>
          <w:szCs w:val="28"/>
        </w:rPr>
        <w:t xml:space="preserve">Порядку продажу, придбання, реєстрації, обліку і застосування </w:t>
      </w:r>
      <w:r>
        <w:rPr>
          <w:spacing w:val="-2"/>
        </w:rPr>
        <w:t xml:space="preserve">спеціальних засобів самооборони, заряджених речовинами сльозоточивої та дратівної дії, затвердженого постановою Кабінету Міністрів України від 07 вересня 1993 року № </w:t>
      </w:r>
      <w:r>
        <w:rPr>
          <w:szCs w:val="28"/>
        </w:rPr>
        <w:t xml:space="preserve">706, </w:t>
      </w:r>
      <w:r>
        <w:rPr>
          <w:spacing w:val="-2"/>
        </w:rPr>
        <w:t xml:space="preserve">Порядку придбання, зберігання, перевезення і використання спортивної зброї, боєприпасів до неї, утримання стрілецьких тирів, стрільбищ та стендів, затвердженого постановою Кабінету Міністрів України</w:t>
      </w:r>
      <w:r>
        <w:rPr>
          <w:spacing w:val="-2"/>
        </w:rPr>
        <w:t xml:space="preserve"> від 27 грудня 2018 року № 1207</w:t>
      </w:r>
      <w:r>
        <w:rPr>
          <w:szCs w:val="28"/>
        </w:rPr>
        <w:t xml:space="preserve">.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Визначення основних груп (підгруп), на які проблема справляє вплив:</w:t>
      </w:r>
      <w:r/>
    </w:p>
    <w:tbl>
      <w:tblPr>
        <w:tblW w:w="97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5"/>
        <w:gridCol w:w="3283"/>
        <w:gridCol w:w="2954"/>
      </w:tblGrid>
      <w:tr>
        <w:trPr/>
        <w:tc>
          <w:tcPr>
            <w:shd w:val="clear" w:color="auto" w:fill="auto"/>
            <w:tcW w:w="3515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Групи (підгрупи)</w:t>
            </w:r>
            <w:r/>
          </w:p>
        </w:tc>
        <w:tc>
          <w:tcPr>
            <w:shd w:val="clear" w:color="auto" w:fill="auto"/>
            <w:tcW w:w="3283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Так</w:t>
            </w:r>
            <w:r/>
          </w:p>
        </w:tc>
        <w:tc>
          <w:tcPr>
            <w:shd w:val="clear" w:color="auto" w:fill="auto"/>
            <w:tcW w:w="2954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Ні</w:t>
            </w:r>
            <w:r/>
          </w:p>
        </w:tc>
      </w:tr>
      <w:tr>
        <w:trPr/>
        <w:tc>
          <w:tcPr>
            <w:shd w:val="clear" w:color="auto" w:fill="auto"/>
            <w:tcW w:w="3515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Громадяни</w:t>
            </w:r>
            <w:r/>
          </w:p>
        </w:tc>
        <w:tc>
          <w:tcPr>
            <w:shd w:val="clear" w:color="auto" w:fill="auto"/>
            <w:tcW w:w="3283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</w:t>
            </w:r>
            <w:r/>
          </w:p>
        </w:tc>
        <w:tc>
          <w:tcPr>
            <w:shd w:val="clear" w:color="auto" w:fill="auto"/>
            <w:tcW w:w="2954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515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Держава</w:t>
            </w:r>
            <w:r/>
          </w:p>
        </w:tc>
        <w:tc>
          <w:tcPr>
            <w:shd w:val="clear" w:color="auto" w:fill="auto"/>
            <w:tcW w:w="328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+</w:t>
            </w:r>
            <w:r/>
          </w:p>
        </w:tc>
        <w:tc>
          <w:tcPr>
            <w:shd w:val="clear" w:color="auto" w:fill="auto"/>
            <w:tcW w:w="2954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515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Суб’єкт</w:t>
            </w:r>
            <w:r>
              <w:rPr>
                <w:szCs w:val="28"/>
              </w:rPr>
              <w:t xml:space="preserve">и</w:t>
            </w:r>
            <w:r>
              <w:rPr>
                <w:szCs w:val="28"/>
              </w:rPr>
              <w:t xml:space="preserve"> господарювання, у тому числі суб’єкти малого підприємництва</w:t>
            </w:r>
            <w:r/>
          </w:p>
        </w:tc>
        <w:tc>
          <w:tcPr>
            <w:shd w:val="clear" w:color="auto" w:fill="auto"/>
            <w:tcW w:w="3283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</w:t>
            </w:r>
            <w:r/>
          </w:p>
        </w:tc>
        <w:tc>
          <w:tcPr>
            <w:shd w:val="clear" w:color="auto" w:fill="auto"/>
            <w:tcW w:w="2954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</w:tr>
    </w:tbl>
    <w:p>
      <w:pPr>
        <w:jc w:val="both"/>
      </w:pPr>
      <w:r/>
      <w:r/>
    </w:p>
    <w:p>
      <w:pPr>
        <w:ind w:firstLine="567"/>
        <w:jc w:val="both"/>
        <w:rPr>
          <w:rStyle w:val="735"/>
          <w:bCs/>
          <w:szCs w:val="28"/>
        </w:rPr>
      </w:pPr>
      <w:r>
        <w:rPr>
          <w:rStyle w:val="735"/>
          <w:bCs/>
          <w:szCs w:val="28"/>
        </w:rPr>
        <w:t xml:space="preserve">Проблема не може бути розв’язана з</w:t>
      </w:r>
      <w:r>
        <w:rPr>
          <w:rStyle w:val="735"/>
          <w:bCs/>
          <w:szCs w:val="28"/>
        </w:rPr>
        <w:t xml:space="preserve">а допомогою ринкових механізмів</w:t>
      </w:r>
      <w:r>
        <w:rPr>
          <w:rStyle w:val="735"/>
          <w:bCs/>
          <w:szCs w:val="28"/>
        </w:rPr>
        <w:t xml:space="preserve">.</w:t>
      </w:r>
      <w:r/>
    </w:p>
    <w:p>
      <w:pPr>
        <w:ind w:firstLine="567"/>
        <w:jc w:val="both"/>
        <w:rPr>
          <w:szCs w:val="28"/>
        </w:rPr>
      </w:pPr>
      <w:r>
        <w:rPr>
          <w:rStyle w:val="735"/>
          <w:bCs/>
          <w:szCs w:val="28"/>
        </w:rPr>
        <w:t xml:space="preserve">Проблема не може бути розв’язана за допомогою чинних актів, оскільки чинн</w:t>
      </w:r>
      <w:r>
        <w:rPr>
          <w:rStyle w:val="735"/>
          <w:bCs/>
          <w:szCs w:val="28"/>
        </w:rPr>
        <w:t xml:space="preserve">і</w:t>
      </w:r>
      <w:r>
        <w:rPr>
          <w:rStyle w:val="735"/>
          <w:bCs/>
          <w:szCs w:val="28"/>
        </w:rPr>
        <w:t xml:space="preserve"> ак</w:t>
      </w:r>
      <w:r>
        <w:rPr>
          <w:rStyle w:val="735"/>
          <w:bCs/>
          <w:szCs w:val="28"/>
        </w:rPr>
        <w:t xml:space="preserve">т</w:t>
      </w:r>
      <w:r>
        <w:rPr>
          <w:rStyle w:val="735"/>
          <w:bCs/>
          <w:szCs w:val="28"/>
        </w:rPr>
        <w:t xml:space="preserve">и Уряду не дозволяють </w:t>
      </w:r>
      <w:r>
        <w:rPr>
          <w:szCs w:val="28"/>
        </w:rPr>
        <w:t xml:space="preserve">органам (підрозділам) поліції </w:t>
      </w:r>
      <w:r>
        <w:rPr>
          <w:szCs w:val="28"/>
        </w:rPr>
        <w:t xml:space="preserve">та суб’єктам господарювання надавати визначені цими актами </w:t>
      </w:r>
      <w:r>
        <w:rPr>
          <w:szCs w:val="28"/>
        </w:rPr>
        <w:t xml:space="preserve">послуг</w:t>
      </w:r>
      <w:r>
        <w:rPr>
          <w:szCs w:val="28"/>
        </w:rPr>
        <w:t xml:space="preserve">и</w:t>
      </w:r>
      <w:r>
        <w:rPr>
          <w:szCs w:val="28"/>
        </w:rPr>
        <w:t xml:space="preserve"> у сфері обігу предметів, матеріалів і речовин, на які поширюється дозвільна система органів внутрішніх справ.  </w:t>
      </w:r>
      <w:r/>
    </w:p>
    <w:p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ІІ</w:t>
      </w:r>
      <w:r>
        <w:rPr>
          <w:b/>
          <w:bCs/>
          <w:szCs w:val="28"/>
        </w:rPr>
        <w:t xml:space="preserve">.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Ц</w:t>
      </w:r>
      <w:r>
        <w:rPr>
          <w:b/>
          <w:bCs/>
          <w:szCs w:val="28"/>
        </w:rPr>
        <w:t xml:space="preserve">іл</w:t>
      </w:r>
      <w:r>
        <w:rPr>
          <w:b/>
          <w:bCs/>
          <w:szCs w:val="28"/>
        </w:rPr>
        <w:t xml:space="preserve">і</w:t>
      </w:r>
      <w:r>
        <w:rPr>
          <w:b/>
          <w:bCs/>
          <w:szCs w:val="28"/>
        </w:rPr>
        <w:t xml:space="preserve"> державного регулювання</w:t>
      </w:r>
      <w:r/>
    </w:p>
    <w:p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ind w:firstLine="567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Основн</w:t>
      </w:r>
      <w:r>
        <w:rPr>
          <w:rFonts w:eastAsia="Calibri"/>
          <w:bCs/>
          <w:szCs w:val="28"/>
        </w:rPr>
        <w:t xml:space="preserve">ою</w:t>
      </w:r>
      <w:r>
        <w:rPr>
          <w:rFonts w:eastAsia="Calibri"/>
          <w:bCs/>
          <w:szCs w:val="28"/>
        </w:rPr>
        <w:t xml:space="preserve"> ціл</w:t>
      </w:r>
      <w:r>
        <w:rPr>
          <w:rFonts w:eastAsia="Calibri"/>
          <w:bCs/>
          <w:szCs w:val="28"/>
        </w:rPr>
        <w:t xml:space="preserve">лю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державного регулювання</w:t>
      </w:r>
      <w:r>
        <w:rPr>
          <w:rFonts w:eastAsia="Calibri"/>
          <w:bCs/>
          <w:szCs w:val="28"/>
        </w:rPr>
        <w:t xml:space="preserve"> є</w:t>
      </w:r>
      <w:r>
        <w:rPr>
          <w:rFonts w:eastAsia="Calibri"/>
          <w:bCs/>
          <w:szCs w:val="28"/>
        </w:rPr>
        <w:t xml:space="preserve"> вдосконалення організації роботи з </w:t>
      </w:r>
      <w:r>
        <w:rPr>
          <w:szCs w:val="28"/>
        </w:rPr>
        <w:t xml:space="preserve">надання послуг органами (підрозділами) поліції </w:t>
      </w:r>
      <w:r>
        <w:rPr>
          <w:szCs w:val="28"/>
        </w:rPr>
        <w:t xml:space="preserve">та суб’єктами господарювання </w:t>
      </w:r>
      <w:r>
        <w:rPr>
          <w:szCs w:val="28"/>
        </w:rPr>
        <w:t xml:space="preserve">у</w:t>
      </w:r>
      <w:r>
        <w:rPr>
          <w:szCs w:val="28"/>
        </w:rPr>
        <w:t xml:space="preserve"> сфері </w:t>
      </w:r>
      <w:r>
        <w:rPr>
          <w:szCs w:val="28"/>
        </w:rPr>
        <w:t xml:space="preserve">обігу предметів, матеріалів і речовин, на які поширюється дозвільна система органів внутрішніх справ.  </w:t>
      </w:r>
      <w:r/>
    </w:p>
    <w:p>
      <w:pPr>
        <w:contextualSpacing/>
        <w:ind w:firstLine="567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05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ІІІ</w:t>
      </w:r>
      <w:r>
        <w:rPr>
          <w:b/>
          <w:szCs w:val="28"/>
        </w:rPr>
        <w:t xml:space="preserve">. Визначення</w:t>
      </w:r>
      <w:r>
        <w:rPr>
          <w:b/>
          <w:szCs w:val="28"/>
        </w:rPr>
        <w:t xml:space="preserve"> та оцінка</w:t>
      </w:r>
      <w:r>
        <w:rPr>
          <w:b/>
          <w:szCs w:val="28"/>
        </w:rPr>
        <w:t xml:space="preserve"> альтернативних способі</w:t>
      </w:r>
      <w:r>
        <w:rPr>
          <w:b/>
          <w:szCs w:val="28"/>
        </w:rPr>
        <w:t xml:space="preserve">в досягнення цілей</w:t>
      </w:r>
      <w:r/>
    </w:p>
    <w:p>
      <w:pPr>
        <w:pStyle w:val="705"/>
        <w:ind w:firstLine="567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05"/>
        <w:ind w:firstLine="567"/>
        <w:rPr>
          <w:szCs w:val="28"/>
        </w:rPr>
      </w:pPr>
      <w:r>
        <w:rPr>
          <w:szCs w:val="28"/>
        </w:rPr>
        <w:t xml:space="preserve">1. Визначення альтернативних способів</w:t>
      </w:r>
      <w:r/>
    </w:p>
    <w:p>
      <w:pPr>
        <w:pStyle w:val="705"/>
        <w:rPr>
          <w:b/>
          <w:szCs w:val="28"/>
        </w:rPr>
      </w:pPr>
      <w:r>
        <w:rPr>
          <w:b/>
          <w:szCs w:val="28"/>
        </w:rPr>
      </w:r>
      <w:r/>
    </w:p>
    <w:tbl>
      <w:tblPr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84"/>
        <w:gridCol w:w="7233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4" w:type="dxa"/>
            <w:textDirection w:val="lrTb"/>
            <w:noWrap w:val="false"/>
          </w:tcPr>
          <w:p>
            <w:pPr>
              <w:pStyle w:val="715"/>
              <w:ind w:left="0"/>
              <w:jc w:val="center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Вид альтернативи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33" w:type="dxa"/>
            <w:vAlign w:val="center"/>
            <w:textDirection w:val="lrTb"/>
            <w:noWrap w:val="false"/>
          </w:tcPr>
          <w:p>
            <w:pPr>
              <w:pStyle w:val="715"/>
              <w:ind w:left="0" w:firstLine="58"/>
              <w:jc w:val="center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Опис альтернативи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auto" w:sz="4" w:space="0"/>
            </w:tcBorders>
            <w:tcW w:w="2384" w:type="dxa"/>
            <w:textDirection w:val="lrTb"/>
            <w:noWrap w:val="false"/>
          </w:tcPr>
          <w:p>
            <w:pPr>
              <w:pStyle w:val="715"/>
              <w:ind w:left="0"/>
              <w:jc w:val="both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1</w:t>
            </w:r>
            <w:r>
              <w:rPr>
                <w:bCs/>
                <w:szCs w:val="28"/>
              </w:rPr>
              <w:t xml:space="preserve">:</w:t>
            </w:r>
            <w:r/>
          </w:p>
          <w:p>
            <w:pPr>
              <w:pStyle w:val="715"/>
              <w:ind w:left="0"/>
              <w:jc w:val="both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</w:t>
            </w:r>
            <w:r>
              <w:rPr>
                <w:bCs/>
                <w:szCs w:val="28"/>
              </w:rPr>
              <w:t xml:space="preserve">алишення без змін існуючої нормативно-правової бази</w:t>
            </w:r>
            <w:r/>
          </w:p>
        </w:tc>
        <w:tc>
          <w:tcPr>
            <w:tcBorders>
              <w:top w:val="single" w:color="auto" w:sz="4" w:space="0"/>
            </w:tcBorders>
            <w:tcW w:w="7233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Зазначений спосіб не дозволить ефективно контролювати обіг </w:t>
            </w:r>
            <w:r>
              <w:rPr>
                <w:szCs w:val="28"/>
              </w:rPr>
              <w:t xml:space="preserve">предметів, матеріалів і речовин</w:t>
            </w:r>
            <w:r>
              <w:rPr>
                <w:szCs w:val="28"/>
              </w:rPr>
              <w:t xml:space="preserve">, на як</w:t>
            </w:r>
            <w:r>
              <w:rPr>
                <w:szCs w:val="28"/>
              </w:rPr>
              <w:t xml:space="preserve">і</w:t>
            </w:r>
            <w:r>
              <w:rPr>
                <w:szCs w:val="28"/>
              </w:rPr>
              <w:t xml:space="preserve"> поширюється дія дозвільної системи органів внутрішніх справ, та надавати відповідні послуги у цій сфері</w:t>
            </w:r>
            <w:r/>
          </w:p>
        </w:tc>
      </w:tr>
      <w:tr>
        <w:trPr>
          <w:trHeight w:val="556"/>
        </w:trPr>
        <w:tc>
          <w:tcPr>
            <w:tcW w:w="2384" w:type="dxa"/>
            <w:textDirection w:val="lrTb"/>
            <w:noWrap w:val="false"/>
          </w:tcPr>
          <w:p>
            <w:pPr>
              <w:pStyle w:val="715"/>
              <w:ind w:left="0"/>
              <w:jc w:val="both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</w:t>
            </w:r>
            <w:r>
              <w:rPr>
                <w:bCs/>
                <w:szCs w:val="28"/>
              </w:rPr>
              <w:t xml:space="preserve">2</w:t>
            </w:r>
            <w:r>
              <w:rPr>
                <w:bCs/>
                <w:szCs w:val="28"/>
              </w:rPr>
              <w:t xml:space="preserve">:</w:t>
            </w:r>
            <w:r/>
          </w:p>
          <w:p>
            <w:pPr>
              <w:pStyle w:val="715"/>
              <w:ind w:left="0"/>
              <w:jc w:val="both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прийняття </w:t>
            </w:r>
            <w:r>
              <w:rPr>
                <w:bCs/>
                <w:szCs w:val="28"/>
              </w:rPr>
              <w:t xml:space="preserve">проє</w:t>
            </w:r>
            <w:r>
              <w:rPr>
                <w:bCs/>
                <w:szCs w:val="28"/>
              </w:rPr>
              <w:t xml:space="preserve">кту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акта</w:t>
            </w:r>
            <w:r/>
          </w:p>
          <w:p>
            <w:pPr>
              <w:pStyle w:val="715"/>
              <w:ind w:left="0"/>
              <w:jc w:val="both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Прийняття проєкту акта дозволить забезпечити ефективний контроль за обігом предметів, матеріалів і речовин, на які поширюється дія дозвільної системи органів внутрішніх справ, та надання якісних послуг у цій сфері</w:t>
            </w:r>
            <w:r/>
          </w:p>
        </w:tc>
      </w:tr>
    </w:tbl>
    <w:p>
      <w:pPr>
        <w:pStyle w:val="721"/>
        <w:ind w:firstLine="851"/>
        <w:jc w:val="both"/>
        <w:spacing w:after="0" w:line="240" w:lineRule="auto"/>
        <w:rPr>
          <w:b/>
          <w:sz w:val="20"/>
        </w:rPr>
      </w:pPr>
      <w:r>
        <w:rPr>
          <w:b/>
          <w:sz w:val="20"/>
        </w:rPr>
      </w:r>
      <w:r/>
    </w:p>
    <w:p>
      <w:pPr>
        <w:pStyle w:val="721"/>
        <w:ind w:firstLine="567"/>
        <w:jc w:val="both"/>
        <w:spacing w:after="0" w:line="240" w:lineRule="auto"/>
      </w:pPr>
      <w:r>
        <w:t xml:space="preserve">2. Оцінка </w:t>
      </w:r>
      <w:r>
        <w:t xml:space="preserve">о</w:t>
      </w:r>
      <w:r>
        <w:t xml:space="preserve">браних альтернативних способів досягнення цілей</w:t>
      </w:r>
      <w:r/>
    </w:p>
    <w:p>
      <w:pPr>
        <w:pStyle w:val="721"/>
        <w:ind w:firstLine="567"/>
        <w:jc w:val="both"/>
        <w:spacing w:after="0" w:line="240" w:lineRule="auto"/>
        <w:rPr>
          <w:b/>
          <w:sz w:val="20"/>
        </w:rPr>
      </w:pPr>
      <w:r>
        <w:rPr>
          <w:b/>
          <w:sz w:val="20"/>
        </w:rPr>
      </w:r>
      <w:r/>
    </w:p>
    <w:p>
      <w:pPr>
        <w:pStyle w:val="721"/>
        <w:ind w:firstLine="567"/>
        <w:jc w:val="both"/>
        <w:spacing w:after="0" w:line="240" w:lineRule="auto"/>
      </w:pPr>
      <w:r>
        <w:t xml:space="preserve">Оцінка впливу на сферу інтересів держави</w:t>
      </w:r>
      <w:r/>
    </w:p>
    <w:p>
      <w:pPr>
        <w:pStyle w:val="721"/>
        <w:ind w:firstLine="851"/>
        <w:jc w:val="both"/>
        <w:spacing w:after="0" w:line="240" w:lineRule="auto"/>
        <w:rPr>
          <w:b/>
          <w:color w:val="ff0000"/>
          <w:sz w:val="20"/>
        </w:rPr>
      </w:pPr>
      <w:r>
        <w:rPr>
          <w:b/>
          <w:color w:val="ff0000"/>
          <w:sz w:val="20"/>
        </w:rPr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3998"/>
        <w:gridCol w:w="3118"/>
      </w:tblGrid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Вид альтернативи</w:t>
            </w:r>
            <w:r/>
          </w:p>
        </w:tc>
        <w:tc>
          <w:tcPr>
            <w:shd w:val="clear" w:color="auto" w:fill="auto"/>
            <w:tcW w:w="3998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Вигоди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Витрати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1</w:t>
            </w:r>
            <w:r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 xml:space="preserve">залишення без змін існуючої нормативно-правової бази</w:t>
            </w:r>
            <w:r/>
          </w:p>
        </w:tc>
        <w:tc>
          <w:tcPr>
            <w:shd w:val="clear" w:color="auto" w:fill="auto"/>
            <w:tcW w:w="3998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Відсутні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tabs>
                <w:tab w:val="left" w:pos="239" w:leader="none"/>
              </w:tabs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Не передбачаються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2:</w:t>
            </w:r>
            <w:r/>
          </w:p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прийняття проєкту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акта</w:t>
            </w:r>
            <w:r/>
          </w:p>
        </w:tc>
        <w:tc>
          <w:tcPr>
            <w:shd w:val="clear" w:color="auto" w:fill="auto"/>
            <w:tcW w:w="3998" w:type="dxa"/>
            <w:textDirection w:val="lrTb"/>
            <w:noWrap w:val="false"/>
          </w:tcPr>
          <w:p>
            <w:pPr>
              <w:pStyle w:val="733"/>
              <w:jc w:val="both"/>
              <w:spacing w:before="0" w:beforeAutospacing="0" w:after="0" w:afterAutospacing="0"/>
              <w:tabs>
                <w:tab w:val="left" w:pos="31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</w:t>
            </w:r>
            <w:r>
              <w:rPr>
                <w:sz w:val="28"/>
                <w:szCs w:val="28"/>
                <w:lang w:val="uk-UA"/>
              </w:rPr>
              <w:t xml:space="preserve">уде забезпечено </w:t>
            </w:r>
            <w:r>
              <w:rPr>
                <w:sz w:val="28"/>
                <w:szCs w:val="28"/>
                <w:lang w:val="uk-UA"/>
              </w:rPr>
              <w:t xml:space="preserve">вдосконал</w:t>
            </w:r>
            <w:r>
              <w:rPr>
                <w:sz w:val="28"/>
                <w:szCs w:val="28"/>
                <w:lang w:val="uk-UA"/>
              </w:rPr>
              <w:t xml:space="preserve">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організації</w:t>
            </w:r>
            <w:r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та підвищ</w:t>
            </w:r>
            <w:r>
              <w:rPr>
                <w:sz w:val="28"/>
                <w:szCs w:val="28"/>
                <w:lang w:val="uk-UA"/>
              </w:rPr>
              <w:t xml:space="preserve">ення</w:t>
            </w:r>
            <w:r>
              <w:rPr>
                <w:sz w:val="28"/>
                <w:szCs w:val="28"/>
                <w:lang w:val="uk-UA"/>
              </w:rPr>
              <w:t xml:space="preserve"> як</w:t>
            </w:r>
            <w:r>
              <w:rPr>
                <w:sz w:val="28"/>
                <w:szCs w:val="28"/>
                <w:lang w:val="uk-UA"/>
              </w:rPr>
              <w:t xml:space="preserve">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послуг у сфері дозвільної системи</w:t>
            </w:r>
            <w:r/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tabs>
                <w:tab w:val="left" w:pos="317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Не передбачаються</w:t>
            </w:r>
            <w:r/>
          </w:p>
        </w:tc>
      </w:tr>
    </w:tbl>
    <w:p>
      <w:pPr>
        <w:pStyle w:val="721"/>
        <w:ind w:firstLine="851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721"/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Оцінка впливу на сферу інтересів громадян</w:t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60"/>
        <w:gridCol w:w="3827"/>
        <w:gridCol w:w="3147"/>
      </w:tblGrid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Вид альтернативи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Вигоди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Витрати</w:t>
            </w:r>
            <w:r/>
          </w:p>
        </w:tc>
      </w:tr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1: </w:t>
            </w:r>
            <w:r>
              <w:rPr>
                <w:bCs/>
                <w:szCs w:val="28"/>
              </w:rPr>
              <w:t xml:space="preserve">залишення без змін існуючої нормативно-правової бази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Відсутні 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 xml:space="preserve">Не передбачаються</w:t>
            </w:r>
            <w:r/>
          </w:p>
        </w:tc>
      </w:tr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2:</w:t>
            </w:r>
            <w:r/>
          </w:p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прийняття проєкту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акта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</w:t>
            </w:r>
            <w:r>
              <w:rPr>
                <w:szCs w:val="28"/>
              </w:rPr>
              <w:t xml:space="preserve">окращиться якість надання громадянам </w:t>
            </w:r>
            <w:r>
              <w:rPr>
                <w:szCs w:val="28"/>
              </w:rPr>
              <w:t xml:space="preserve">послуг </w:t>
            </w:r>
            <w:r>
              <w:rPr>
                <w:szCs w:val="28"/>
              </w:rPr>
              <w:t xml:space="preserve">у сфері дозвільної системи</w:t>
            </w:r>
            <w:r/>
          </w:p>
        </w:tc>
        <w:tc>
          <w:tcPr>
            <w:shd w:val="clear" w:color="auto" w:fill="auto"/>
            <w:tcW w:w="314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передбачаються</w:t>
            </w:r>
            <w:r/>
          </w:p>
        </w:tc>
      </w:tr>
    </w:tbl>
    <w:p>
      <w:pPr>
        <w:pStyle w:val="721"/>
        <w:ind w:firstLine="851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21"/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Оцінка впливу на сферу інтересів суб’єктів господарювання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60"/>
        <w:gridCol w:w="3827"/>
        <w:gridCol w:w="3135"/>
      </w:tblGrid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Вид альтернативи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Вигоди</w:t>
            </w:r>
            <w:r/>
          </w:p>
        </w:tc>
        <w:tc>
          <w:tcPr>
            <w:shd w:val="clear" w:color="auto" w:fill="auto"/>
            <w:tcW w:w="3135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Витрати</w:t>
            </w:r>
            <w:r/>
          </w:p>
        </w:tc>
      </w:tr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1: </w:t>
            </w:r>
            <w:r>
              <w:rPr>
                <w:bCs/>
                <w:szCs w:val="28"/>
              </w:rPr>
              <w:t xml:space="preserve">залишення без змін існуючої нормативно-правової бази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Відсутні </w:t>
            </w:r>
            <w:r/>
          </w:p>
        </w:tc>
        <w:tc>
          <w:tcPr>
            <w:shd w:val="clear" w:color="auto" w:fill="auto"/>
            <w:tcW w:w="3135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 xml:space="preserve">Не передбачаються</w:t>
            </w:r>
            <w:r/>
          </w:p>
        </w:tc>
      </w:tr>
      <w:tr>
        <w:trPr/>
        <w:tc>
          <w:tcPr>
            <w:shd w:val="clear" w:color="auto" w:fill="auto"/>
            <w:tcW w:w="2660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2:</w:t>
            </w:r>
            <w:r/>
          </w:p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прийняття проєкту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акта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Покращиться якість надання послуг суб’єктам</w:t>
            </w:r>
            <w:r>
              <w:rPr>
                <w:szCs w:val="28"/>
              </w:rPr>
              <w:t xml:space="preserve">и</w:t>
            </w:r>
            <w:r>
              <w:rPr>
                <w:szCs w:val="28"/>
              </w:rPr>
              <w:t xml:space="preserve"> господарювання у сфері дозвільної системи</w:t>
            </w:r>
            <w:r/>
          </w:p>
        </w:tc>
        <w:tc>
          <w:tcPr>
            <w:shd w:val="clear" w:color="auto" w:fill="auto"/>
            <w:tcW w:w="3135" w:type="dxa"/>
            <w:textDirection w:val="lrTb"/>
            <w:noWrap w:val="false"/>
          </w:tcPr>
          <w:p>
            <w:pPr>
              <w:pStyle w:val="721"/>
              <w:jc w:val="both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передбачаються</w:t>
            </w:r>
            <w:r/>
          </w:p>
        </w:tc>
      </w:tr>
    </w:tbl>
    <w:p>
      <w:pPr>
        <w:pStyle w:val="721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21"/>
        <w:jc w:val="center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ІV. Вибір найбільш оптимального альтернативного </w:t>
      </w:r>
      <w:r/>
    </w:p>
    <w:p>
      <w:pPr>
        <w:pStyle w:val="721"/>
        <w:jc w:val="center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способу досягнення цілей</w:t>
      </w:r>
      <w:r/>
    </w:p>
    <w:p>
      <w:pPr>
        <w:pStyle w:val="721"/>
        <w:jc w:val="center"/>
        <w:spacing w:after="0" w:line="240" w:lineRule="auto"/>
        <w:rPr>
          <w:b/>
          <w:szCs w:val="28"/>
        </w:rPr>
      </w:pPr>
      <w:r>
        <w:rPr>
          <w:b/>
          <w:szCs w:val="28"/>
        </w:rPr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1"/>
        <w:gridCol w:w="2780"/>
        <w:gridCol w:w="2198"/>
        <w:gridCol w:w="2037"/>
      </w:tblGrid>
      <w:tr>
        <w:trPr>
          <w:trHeight w:val="1305"/>
        </w:trPr>
        <w:tc>
          <w:tcPr>
            <w:shd w:val="clear" w:color="auto" w:fill="auto"/>
            <w:tcW w:w="2511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Рейтинг результативності (досягнення цілей під час вирішення проблем)</w:t>
            </w:r>
            <w:r/>
          </w:p>
        </w:tc>
        <w:tc>
          <w:tcPr>
            <w:shd w:val="clear" w:color="auto" w:fill="auto"/>
            <w:tcW w:w="2780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Бал результативності (за чотирибальною системою оцінки)</w:t>
            </w:r>
            <w:r/>
          </w:p>
        </w:tc>
        <w:tc>
          <w:tcPr>
            <w:gridSpan w:val="2"/>
            <w:shd w:val="clear" w:color="auto" w:fill="auto"/>
            <w:tcW w:w="4235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Коментарі щодо присвоєння відповідного бал</w:t>
            </w:r>
            <w:r>
              <w:rPr>
                <w:szCs w:val="28"/>
              </w:rPr>
              <w:t xml:space="preserve">у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1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1: </w:t>
            </w:r>
            <w:r>
              <w:rPr>
                <w:bCs/>
                <w:szCs w:val="28"/>
              </w:rPr>
              <w:t xml:space="preserve">залишення без </w:t>
            </w:r>
            <w:r>
              <w:rPr>
                <w:bCs/>
                <w:szCs w:val="28"/>
              </w:rPr>
              <w:t xml:space="preserve">змін існуючої нормативно-правової бази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780" w:type="dxa"/>
            <w:vAlign w:val="center"/>
            <w:textDirection w:val="lrTb"/>
            <w:noWrap w:val="false"/>
          </w:tcPr>
          <w:p>
            <w:pPr>
              <w:contextualSpacing/>
              <w:ind w:left="-93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23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shd w:val="clear" w:color="auto" w:fill="ffffff"/>
              <w:widowControl w:val="off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 разі </w:t>
            </w:r>
            <w:r>
              <w:rPr>
                <w:bCs/>
                <w:szCs w:val="28"/>
              </w:rPr>
              <w:t xml:space="preserve">залишення без змін існуючої нормативно-правової </w:t>
            </w:r>
            <w:r>
              <w:rPr>
                <w:bCs/>
                <w:szCs w:val="28"/>
              </w:rPr>
              <w:t xml:space="preserve">бази </w:t>
            </w:r>
            <w:r>
              <w:rPr>
                <w:bCs/>
                <w:szCs w:val="28"/>
              </w:rPr>
              <w:t xml:space="preserve">не буде реалізовано комплекс заходів, спрямованих на </w:t>
            </w:r>
            <w:r>
              <w:rPr>
                <w:szCs w:val="28"/>
              </w:rPr>
              <w:t xml:space="preserve">забезпечення ефективного контрол</w:t>
            </w:r>
            <w:r>
              <w:rPr>
                <w:szCs w:val="28"/>
              </w:rPr>
              <w:t xml:space="preserve">ю</w:t>
            </w:r>
            <w:r>
              <w:rPr>
                <w:szCs w:val="28"/>
              </w:rPr>
              <w:t xml:space="preserve"> за обігом предметів, матеріалів і речовин, на які поширюється дія дозвільної системи органів внутрішніх справ, та надання якісних послуг у цій сфері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1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2:</w:t>
            </w:r>
            <w:r/>
          </w:p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прийняття проєкту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акта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780" w:type="dxa"/>
            <w:vAlign w:val="center"/>
            <w:textDirection w:val="lrTb"/>
            <w:noWrap w:val="false"/>
          </w:tcPr>
          <w:p>
            <w:pPr>
              <w:contextualSpacing/>
              <w:ind w:left="-93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235" w:type="dxa"/>
            <w:vAlign w:val="center"/>
            <w:textDirection w:val="lrTb"/>
            <w:noWrap w:val="false"/>
          </w:tcPr>
          <w:p>
            <w:pPr>
              <w:pStyle w:val="705"/>
              <w:contextualSpacing/>
              <w:ind w:firstLine="0"/>
              <w:rPr>
                <w:bCs/>
              </w:rPr>
            </w:pPr>
            <w:r>
              <w:rPr>
                <w:bCs/>
              </w:rPr>
              <w:t xml:space="preserve">У разі прийняття акта буде реалізовано державну політику, спрямовану на </w:t>
            </w:r>
            <w:r>
              <w:rPr>
                <w:szCs w:val="28"/>
              </w:rPr>
              <w:t xml:space="preserve">вдосконалення </w:t>
            </w:r>
            <w:r>
              <w:rPr>
                <w:szCs w:val="28"/>
              </w:rPr>
              <w:t xml:space="preserve">організації роботи та підвищенн</w:t>
            </w:r>
            <w:r>
              <w:rPr>
                <w:szCs w:val="28"/>
              </w:rPr>
              <w:t xml:space="preserve">я як</w:t>
            </w: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сті надання послуг у сфері дозвільної системи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511" w:type="dxa"/>
            <w:textDirection w:val="lrTb"/>
            <w:noWrap w:val="false"/>
          </w:tcPr>
          <w:p>
            <w:pPr>
              <w:pStyle w:val="715"/>
              <w:ind w:left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80" w:type="dxa"/>
            <w:vAlign w:val="center"/>
            <w:textDirection w:val="lrTb"/>
            <w:noWrap w:val="false"/>
          </w:tcPr>
          <w:p>
            <w:pPr>
              <w:contextualSpacing/>
              <w:ind w:left="-93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35" w:type="dxa"/>
            <w:vAlign w:val="center"/>
            <w:textDirection w:val="lrTb"/>
            <w:noWrap w:val="false"/>
          </w:tcPr>
          <w:p>
            <w:pPr>
              <w:pStyle w:val="705"/>
              <w:contextualSpacing/>
              <w:ind w:firstLine="0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511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Рейтинг результативності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780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Вигоди (підсумок)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198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Витрати (підсумок)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037" w:type="dxa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Обґрунтування відповідного місця альтернативи </w:t>
            </w: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рейтингу</w:t>
            </w:r>
            <w:r/>
          </w:p>
        </w:tc>
      </w:tr>
      <w:tr>
        <w:trPr/>
        <w:tc>
          <w:tcPr>
            <w:shd w:val="clear" w:color="auto" w:fill="auto"/>
            <w:tcW w:w="2511" w:type="dxa"/>
            <w:vAlign w:val="center"/>
            <w:textDirection w:val="lrTb"/>
            <w:noWrap w:val="false"/>
          </w:tcPr>
          <w:p>
            <w:pPr>
              <w:pStyle w:val="715"/>
              <w:ind w:left="0"/>
              <w:jc w:val="center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1: </w:t>
            </w:r>
            <w:r>
              <w:rPr>
                <w:bCs/>
                <w:szCs w:val="28"/>
              </w:rPr>
              <w:t xml:space="preserve">залишення без змін існуючої нормативно-правової бази</w:t>
            </w:r>
            <w:r/>
          </w:p>
        </w:tc>
        <w:tc>
          <w:tcPr>
            <w:shd w:val="clear" w:color="auto" w:fill="auto"/>
            <w:tcW w:w="2780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Відсутні</w:t>
            </w:r>
            <w:r/>
          </w:p>
        </w:tc>
        <w:tc>
          <w:tcPr>
            <w:shd w:val="clear" w:color="auto" w:fill="auto"/>
            <w:tcW w:w="2198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 змінюються</w:t>
            </w:r>
            <w:r/>
          </w:p>
        </w:tc>
        <w:tc>
          <w:tcPr>
            <w:shd w:val="clear" w:color="auto" w:fill="auto"/>
            <w:tcW w:w="203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враховує</w:t>
            </w:r>
            <w:r/>
          </w:p>
        </w:tc>
      </w:tr>
      <w:tr>
        <w:trPr/>
        <w:tc>
          <w:tcPr>
            <w:shd w:val="clear" w:color="auto" w:fill="auto"/>
            <w:tcW w:w="2511" w:type="dxa"/>
            <w:vAlign w:val="center"/>
            <w:textDirection w:val="lrTb"/>
            <w:noWrap w:val="false"/>
          </w:tcPr>
          <w:p>
            <w:pPr>
              <w:pStyle w:val="715"/>
              <w:ind w:left="0"/>
              <w:jc w:val="center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Альтернатива 2:</w:t>
            </w:r>
            <w:r/>
          </w:p>
          <w:p>
            <w:pPr>
              <w:pStyle w:val="715"/>
              <w:ind w:left="0"/>
              <w:jc w:val="center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прийняття проєкту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акта</w:t>
            </w:r>
            <w:r/>
          </w:p>
        </w:tc>
        <w:tc>
          <w:tcPr>
            <w:shd w:val="clear" w:color="auto" w:fill="auto"/>
            <w:tcW w:w="278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pacing w:before="0" w:beforeAutospacing="0" w:after="0" w:afterAutospacing="0"/>
              <w:tabs>
                <w:tab w:val="left" w:pos="209" w:leader="none"/>
                <w:tab w:val="left" w:pos="45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</w:t>
            </w:r>
            <w:r>
              <w:rPr>
                <w:sz w:val="28"/>
                <w:szCs w:val="28"/>
                <w:lang w:val="uk-UA"/>
              </w:rPr>
              <w:t xml:space="preserve">досконалить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організацію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роботи та підвищить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якість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послуг у сфері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дозвільної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системи</w:t>
            </w:r>
            <w:r/>
          </w:p>
        </w:tc>
        <w:tc>
          <w:tcPr>
            <w:shd w:val="clear" w:color="auto" w:fill="auto"/>
            <w:tcW w:w="2198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Не змінюються</w:t>
            </w:r>
            <w:r/>
          </w:p>
        </w:tc>
        <w:tc>
          <w:tcPr>
            <w:shd w:val="clear" w:color="auto" w:fill="auto"/>
            <w:tcW w:w="203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Даний спосіб повністю відповідає вимогам сьогодення та дозволить досягти запланованих результатів</w:t>
            </w:r>
            <w:r/>
          </w:p>
        </w:tc>
      </w:tr>
    </w:tbl>
    <w:p>
      <w:pPr>
        <w:pStyle w:val="721"/>
        <w:spacing w:after="0"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21"/>
        <w:jc w:val="center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V. Механізм та заходи, які забезпечать розв’язання визначеної проблеми</w:t>
      </w:r>
      <w:r/>
    </w:p>
    <w:p>
      <w:pPr>
        <w:pStyle w:val="721"/>
        <w:ind w:firstLine="851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firstLine="567"/>
        <w:jc w:val="both"/>
        <w:tabs>
          <w:tab w:val="left" w:pos="567" w:leader="none"/>
        </w:tabs>
        <w:rPr>
          <w:szCs w:val="28"/>
        </w:rPr>
      </w:pPr>
      <w:r>
        <w:rPr>
          <w:rFonts w:eastAsia="Calibri"/>
          <w:bCs/>
          <w:szCs w:val="28"/>
        </w:rPr>
        <w:t xml:space="preserve">Для вирішення </w:t>
      </w:r>
      <w:r>
        <w:rPr>
          <w:rFonts w:eastAsia="Calibri"/>
          <w:bCs/>
          <w:szCs w:val="28"/>
        </w:rPr>
        <w:t xml:space="preserve">зазначен</w:t>
      </w:r>
      <w:r>
        <w:rPr>
          <w:rFonts w:eastAsia="Calibri"/>
          <w:bCs/>
          <w:szCs w:val="28"/>
        </w:rPr>
        <w:t xml:space="preserve">их</w:t>
      </w:r>
      <w:r>
        <w:rPr>
          <w:rFonts w:eastAsia="Calibri"/>
          <w:bCs/>
          <w:szCs w:val="28"/>
        </w:rPr>
        <w:t xml:space="preserve"> проблем </w:t>
      </w:r>
      <w:r>
        <w:rPr>
          <w:rFonts w:eastAsia="Calibri"/>
          <w:bCs/>
          <w:szCs w:val="28"/>
        </w:rPr>
        <w:t xml:space="preserve">пропонується </w:t>
      </w:r>
      <w:r>
        <w:rPr>
          <w:rFonts w:eastAsia="Calibri"/>
          <w:bCs/>
          <w:szCs w:val="28"/>
        </w:rPr>
        <w:t xml:space="preserve">прийняття проєкту акта, що дозволить </w:t>
      </w:r>
      <w:r>
        <w:rPr>
          <w:szCs w:val="28"/>
        </w:rPr>
        <w:t xml:space="preserve">забезпечити ефективний контроль за обігом предметів, матеріалів і речовин, на які поширюється дія дозвільної системи органів внутрішніх справ, та надання якісних послуг у цій сфері</w:t>
      </w:r>
      <w:r>
        <w:rPr>
          <w:szCs w:val="28"/>
        </w:rPr>
        <w:t xml:space="preserve">.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Для впровадження регуляторного акта необхідно здійснити такі організаційні заходи: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провести погодження проєкту акта із заінтересованими центральними органами виконавчої влади;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унести проєкт акта на розгляд Кабінету Міністрів України;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забезпечити інформування громадськості та суб’єктів господарювання про вимоги регуляторного акта шляхом його оприлюднення на офіційному </w:t>
      </w:r>
      <w:r>
        <w:rPr>
          <w:szCs w:val="28"/>
        </w:rPr>
        <w:t xml:space="preserve">вебсайті</w:t>
      </w:r>
      <w:r>
        <w:rPr>
          <w:szCs w:val="28"/>
        </w:rPr>
        <w:t xml:space="preserve"> Міністерства внутрішніх справ України.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Суб’єктам господарювання для впровадження вимог регулювання необхідно ознайомитися з ними.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Ризиків впливу зовнішніх факторів на дію регуляторного акта немає.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Прийняття проєкту акта не призведе до неочікуваних результатів.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  <w:t xml:space="preserve">Можлива шкода в разі очікуваних наслідків дії акта не прогнозується.</w:t>
      </w:r>
      <w:r/>
    </w:p>
    <w:p>
      <w:pPr>
        <w:pStyle w:val="726"/>
        <w:ind w:firstLine="708"/>
        <w:jc w:val="both"/>
        <w:tabs>
          <w:tab w:val="left" w:pos="567" w:leader="none"/>
        </w:tabs>
      </w:pPr>
      <w:r/>
      <w:r/>
    </w:p>
    <w:p>
      <w:pPr>
        <w:pStyle w:val="721"/>
        <w:jc w:val="center"/>
        <w:spacing w:after="0" w:line="240" w:lineRule="auto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/>
    </w:p>
    <w:p>
      <w:pPr>
        <w:contextualSpacing/>
        <w:ind w:firstLine="567"/>
        <w:jc w:val="both"/>
        <w:tabs>
          <w:tab w:val="left" w:pos="567" w:leader="none"/>
        </w:tabs>
        <w:rPr>
          <w:szCs w:val="28"/>
        </w:rPr>
      </w:pPr>
      <w:r>
        <w:rPr>
          <w:szCs w:val="28"/>
        </w:rPr>
      </w:r>
      <w:r/>
    </w:p>
    <w:p>
      <w:pPr>
        <w:contextualSpacing/>
        <w:ind w:firstLine="567"/>
        <w:jc w:val="both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Додаток 2 до Методики проведення аналізу впливу регуляторного акта не розроблявся з огляду на те, що </w:t>
      </w:r>
      <w:r>
        <w:rPr>
          <w:szCs w:val="28"/>
        </w:rPr>
        <w:t xml:space="preserve">витрати суб’єктів господарювання не змінюються</w:t>
      </w:r>
      <w:r>
        <w:rPr>
          <w:szCs w:val="28"/>
        </w:rPr>
        <w:t xml:space="preserve">.</w:t>
      </w:r>
      <w:r/>
    </w:p>
    <w:p>
      <w:pPr>
        <w:ind w:firstLine="567"/>
        <w:jc w:val="both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Витрати</w:t>
      </w:r>
      <w:r>
        <w:rPr>
          <w:szCs w:val="28"/>
        </w:rPr>
        <w:t xml:space="preserve"> Національної поліції України</w:t>
      </w:r>
      <w:r>
        <w:rPr>
          <w:szCs w:val="28"/>
        </w:rPr>
        <w:t xml:space="preserve"> </w:t>
      </w:r>
      <w:r>
        <w:rPr>
          <w:szCs w:val="28"/>
        </w:rPr>
        <w:t xml:space="preserve">не передбачаються</w:t>
      </w:r>
      <w:r>
        <w:rPr>
          <w:szCs w:val="28"/>
        </w:rPr>
        <w:t xml:space="preserve">.</w:t>
      </w:r>
      <w:r/>
    </w:p>
    <w:p>
      <w:pPr>
        <w:pStyle w:val="721"/>
        <w:ind w:firstLine="567"/>
        <w:jc w:val="both"/>
        <w:spacing w:after="0" w:line="240" w:lineRule="auto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Додаток 4 до Методики проведення аналізу впливу регуляторного акта не розроблявся у зв’язку з </w:t>
      </w:r>
      <w:r>
        <w:rPr>
          <w:szCs w:val="28"/>
        </w:rPr>
        <w:t xml:space="preserve">відсутністю впливу регулювання на суб’єктів господарювання</w:t>
      </w:r>
      <w:r>
        <w:rPr>
          <w:szCs w:val="28"/>
        </w:rPr>
        <w:t xml:space="preserve">.</w:t>
      </w:r>
      <w:r/>
    </w:p>
    <w:p>
      <w:pPr>
        <w:pStyle w:val="721"/>
        <w:ind w:firstLine="567"/>
        <w:jc w:val="both"/>
        <w:spacing w:after="0" w:line="240" w:lineRule="auto"/>
        <w:tabs>
          <w:tab w:val="left" w:pos="567" w:leader="none"/>
        </w:tabs>
      </w:pPr>
      <w:r>
        <w:rPr>
          <w:szCs w:val="28"/>
        </w:rPr>
        <w:t xml:space="preserve">Державне регулювання, запропоноване проєктом </w:t>
      </w:r>
      <w:r>
        <w:rPr>
          <w:szCs w:val="28"/>
        </w:rPr>
        <w:t xml:space="preserve">акта</w:t>
      </w:r>
      <w:r>
        <w:rPr>
          <w:szCs w:val="28"/>
        </w:rPr>
        <w:t xml:space="preserve">, не передбачає утворення нов</w:t>
      </w:r>
      <w:r>
        <w:rPr>
          <w:szCs w:val="28"/>
        </w:rPr>
        <w:t xml:space="preserve">ого державного органу або нових структурних підрозділів</w:t>
      </w:r>
      <w:r>
        <w:rPr>
          <w:szCs w:val="28"/>
        </w:rPr>
        <w:t xml:space="preserve"> діючих органів.</w:t>
      </w:r>
      <w:r/>
    </w:p>
    <w:p>
      <w:pPr>
        <w:pStyle w:val="721"/>
        <w:ind w:firstLine="567"/>
        <w:jc w:val="center"/>
        <w:spacing w:after="0" w:line="240" w:lineRule="auto"/>
        <w:tabs>
          <w:tab w:val="left" w:pos="567" w:leader="none"/>
        </w:tabs>
        <w:rPr>
          <w:color w:val="ff0000"/>
          <w:szCs w:val="28"/>
        </w:rPr>
      </w:pPr>
      <w:r>
        <w:rPr>
          <w:color w:val="ff0000"/>
          <w:szCs w:val="28"/>
        </w:rPr>
      </w:r>
      <w:r/>
    </w:p>
    <w:p>
      <w:pPr>
        <w:pStyle w:val="721"/>
        <w:jc w:val="center"/>
        <w:spacing w:after="0" w:line="240" w:lineRule="auto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  <w:t xml:space="preserve">VII. Обґрунтування запропонованого строку дії регуляторного акта</w:t>
      </w:r>
      <w:r/>
    </w:p>
    <w:p>
      <w:pPr>
        <w:pStyle w:val="721"/>
        <w:ind w:firstLine="851"/>
        <w:jc w:val="both"/>
        <w:spacing w:after="0" w:line="240" w:lineRule="auto"/>
        <w:tabs>
          <w:tab w:val="left" w:pos="567" w:leader="none"/>
        </w:tabs>
        <w:rPr>
          <w:szCs w:val="28"/>
        </w:rPr>
      </w:pPr>
      <w:r>
        <w:rPr>
          <w:szCs w:val="28"/>
        </w:rPr>
      </w:r>
      <w:r/>
    </w:p>
    <w:p>
      <w:pPr>
        <w:pStyle w:val="721"/>
        <w:ind w:firstLine="567"/>
        <w:jc w:val="both"/>
        <w:spacing w:after="0" w:line="240" w:lineRule="auto"/>
        <w:tabs>
          <w:tab w:val="left" w:pos="567" w:leader="none"/>
        </w:tabs>
        <w:rPr>
          <w:rStyle w:val="735"/>
          <w:szCs w:val="28"/>
        </w:rPr>
      </w:pPr>
      <w:r>
        <w:rPr>
          <w:rStyle w:val="735"/>
          <w:szCs w:val="28"/>
        </w:rPr>
        <w:t xml:space="preserve">Строк дії акта не обмежений у часі.</w:t>
      </w:r>
      <w:r/>
    </w:p>
    <w:p>
      <w:pPr>
        <w:pStyle w:val="721"/>
        <w:ind w:firstLine="567"/>
        <w:jc w:val="both"/>
        <w:spacing w:after="0" w:line="240" w:lineRule="auto"/>
        <w:tabs>
          <w:tab w:val="left" w:pos="567" w:leader="none"/>
        </w:tabs>
        <w:rPr>
          <w:rStyle w:val="735"/>
          <w:szCs w:val="28"/>
        </w:rPr>
      </w:pPr>
      <w:r>
        <w:rPr>
          <w:rStyle w:val="735"/>
          <w:szCs w:val="28"/>
        </w:rPr>
        <w:t xml:space="preserve">Зміна строку дії акта можлива в разі зміни правових норм, на яких базується проєкт </w:t>
      </w:r>
      <w:r>
        <w:rPr>
          <w:rStyle w:val="735"/>
          <w:szCs w:val="28"/>
        </w:rPr>
        <w:t xml:space="preserve">акта</w:t>
      </w:r>
      <w:r>
        <w:rPr>
          <w:rStyle w:val="735"/>
          <w:szCs w:val="28"/>
        </w:rPr>
        <w:t xml:space="preserve">.</w:t>
      </w:r>
      <w:r/>
    </w:p>
    <w:p>
      <w:pPr>
        <w:pStyle w:val="721"/>
        <w:ind w:firstLine="567"/>
        <w:jc w:val="both"/>
        <w:spacing w:after="0" w:line="240" w:lineRule="auto"/>
        <w:tabs>
          <w:tab w:val="left" w:pos="567" w:leader="none"/>
        </w:tabs>
        <w:rPr>
          <w:rStyle w:val="735"/>
          <w:szCs w:val="28"/>
        </w:rPr>
      </w:pPr>
      <w:r>
        <w:rPr>
          <w:rStyle w:val="735"/>
          <w:szCs w:val="28"/>
        </w:rPr>
        <w:t xml:space="preserve">Строк набрання чинності актом – відповідно до законодавства після його офіційного опублікування.</w:t>
      </w:r>
      <w:r/>
    </w:p>
    <w:p>
      <w:pPr>
        <w:pStyle w:val="721"/>
        <w:ind w:firstLine="851"/>
        <w:jc w:val="both"/>
        <w:spacing w:after="0" w:line="240" w:lineRule="auto"/>
        <w:tabs>
          <w:tab w:val="left" w:pos="567" w:leader="none"/>
        </w:tabs>
        <w:rPr>
          <w:szCs w:val="28"/>
        </w:rPr>
      </w:pPr>
      <w:r>
        <w:rPr>
          <w:szCs w:val="28"/>
        </w:rPr>
      </w:r>
      <w:r/>
    </w:p>
    <w:p>
      <w:pPr>
        <w:pStyle w:val="721"/>
        <w:jc w:val="center"/>
        <w:spacing w:after="0" w:line="240" w:lineRule="auto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  <w:t xml:space="preserve">VIII. Визначення показників результативності дії регуляторного акта</w:t>
      </w:r>
      <w:r/>
    </w:p>
    <w:p>
      <w:pPr>
        <w:pStyle w:val="721"/>
        <w:ind w:firstLine="851"/>
        <w:jc w:val="center"/>
        <w:spacing w:after="0" w:line="240" w:lineRule="auto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</w:r>
      <w:r/>
    </w:p>
    <w:p>
      <w:pPr>
        <w:pStyle w:val="705"/>
        <w:ind w:firstLine="567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Прийняття</w:t>
      </w:r>
      <w:r>
        <w:rPr>
          <w:szCs w:val="28"/>
        </w:rPr>
        <w:t xml:space="preserve"> </w:t>
      </w:r>
      <w:r>
        <w:rPr>
          <w:szCs w:val="28"/>
        </w:rPr>
        <w:t xml:space="preserve">акта</w:t>
      </w:r>
      <w:r>
        <w:rPr>
          <w:szCs w:val="28"/>
        </w:rPr>
        <w:t xml:space="preserve"> не впливатиме на розмір надходжень до державного та місцевих бюджетів і державних цільових фондів та не передбачатиме додаткових надходжень до загального фонду державного та місцевих бюджетів.</w:t>
      </w:r>
      <w:r/>
    </w:p>
    <w:p>
      <w:pPr>
        <w:ind w:firstLine="567"/>
        <w:jc w:val="both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Дія </w:t>
      </w:r>
      <w:r>
        <w:rPr>
          <w:szCs w:val="28"/>
        </w:rPr>
        <w:t xml:space="preserve">акта</w:t>
      </w:r>
      <w:r>
        <w:rPr>
          <w:szCs w:val="28"/>
        </w:rPr>
        <w:t xml:space="preserve"> поширюється на органи</w:t>
      </w:r>
      <w:r>
        <w:rPr>
          <w:szCs w:val="28"/>
        </w:rPr>
        <w:t xml:space="preserve"> (підрозділи)</w:t>
      </w:r>
      <w:r>
        <w:rPr>
          <w:szCs w:val="28"/>
        </w:rPr>
        <w:t xml:space="preserve"> </w:t>
      </w:r>
      <w:r>
        <w:rPr>
          <w:szCs w:val="28"/>
        </w:rPr>
        <w:t xml:space="preserve">Національної поліції України,</w:t>
      </w:r>
      <w:r>
        <w:rPr>
          <w:szCs w:val="28"/>
        </w:rPr>
        <w:t xml:space="preserve"> </w:t>
      </w:r>
      <w:r>
        <w:rPr>
          <w:szCs w:val="28"/>
        </w:rPr>
        <w:t xml:space="preserve">громадян</w:t>
      </w:r>
      <w:r>
        <w:rPr>
          <w:szCs w:val="28"/>
        </w:rPr>
        <w:t xml:space="preserve"> </w:t>
      </w:r>
      <w:r>
        <w:rPr>
          <w:szCs w:val="28"/>
        </w:rPr>
        <w:t xml:space="preserve">та</w:t>
      </w:r>
      <w:r>
        <w:rPr>
          <w:szCs w:val="28"/>
        </w:rPr>
        <w:t xml:space="preserve"> суб’єктів</w:t>
      </w:r>
      <w:r>
        <w:rPr>
          <w:szCs w:val="28"/>
        </w:rPr>
        <w:t xml:space="preserve"> господарювання, які здійснюють діяльність з виробництва, ремонту, торгівлі вогнепальною зброєю невійськового призначення, </w:t>
      </w:r>
      <w:r>
        <w:rPr>
          <w:szCs w:val="28"/>
        </w:rPr>
        <w:t xml:space="preserve">боєприпасами до неї, холодною та </w:t>
      </w:r>
      <w:r>
        <w:rPr>
          <w:szCs w:val="28"/>
        </w:rPr>
        <w:t xml:space="preserve">охолощеною</w:t>
      </w:r>
      <w:r>
        <w:rPr>
          <w:szCs w:val="28"/>
        </w:rPr>
        <w:t xml:space="preserve"> зброєю, пневматичною зброєю калібру понад 4,5 мм і швидкістю польоту кулі понад 100 м/с;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Style w:val="727"/>
          <w:szCs w:val="28"/>
        </w:rPr>
        <w:t xml:space="preserve">.</w:t>
      </w:r>
      <w:r/>
    </w:p>
    <w:p>
      <w:pPr>
        <w:ind w:firstLine="567"/>
        <w:jc w:val="both"/>
        <w:tabs>
          <w:tab w:val="left" w:pos="567" w:leader="none"/>
        </w:tabs>
        <w:rPr>
          <w:szCs w:val="28"/>
        </w:rPr>
      </w:pPr>
      <w:r>
        <w:rPr>
          <w:rFonts w:eastAsia="Calibri"/>
          <w:szCs w:val="28"/>
        </w:rPr>
        <w:t xml:space="preserve">Рівень поінформованості суб’єктів господарювання з основними положеннями </w:t>
      </w:r>
      <w:r>
        <w:rPr>
          <w:rFonts w:eastAsia="Calibri"/>
          <w:szCs w:val="28"/>
        </w:rPr>
        <w:t xml:space="preserve">проєкту акта</w:t>
      </w:r>
      <w:r>
        <w:rPr>
          <w:rFonts w:eastAsia="Calibri"/>
          <w:szCs w:val="28"/>
        </w:rPr>
        <w:t xml:space="preserve"> – високий.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У зв’язку </w:t>
      </w:r>
      <w:r>
        <w:rPr>
          <w:szCs w:val="28"/>
        </w:rPr>
        <w:t xml:space="preserve">і</w:t>
      </w:r>
      <w:r>
        <w:rPr>
          <w:szCs w:val="28"/>
        </w:rPr>
        <w:t xml:space="preserve">з цим </w:t>
      </w:r>
      <w:r>
        <w:rPr>
          <w:rFonts w:eastAsia="Calibri"/>
          <w:szCs w:val="28"/>
        </w:rPr>
        <w:t xml:space="preserve">проєкт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регуляторного акта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разом з аналізом регуляторного впливу </w:t>
      </w:r>
      <w:r>
        <w:rPr>
          <w:rFonts w:eastAsia="Calibri"/>
          <w:szCs w:val="28"/>
        </w:rPr>
        <w:t xml:space="preserve">розміщений</w:t>
      </w:r>
      <w:r>
        <w:rPr>
          <w:rFonts w:eastAsia="Calibri"/>
          <w:szCs w:val="28"/>
        </w:rPr>
        <w:t xml:space="preserve"> на офіційному </w:t>
      </w:r>
      <w:r>
        <w:rPr>
          <w:rFonts w:eastAsia="Calibri"/>
          <w:szCs w:val="28"/>
        </w:rPr>
        <w:t xml:space="preserve">вебсайті</w:t>
      </w:r>
      <w:r>
        <w:rPr>
          <w:rFonts w:eastAsia="Calibri"/>
          <w:szCs w:val="28"/>
        </w:rPr>
        <w:t xml:space="preserve"> Міністерства внутрішніх справ України</w:t>
      </w:r>
      <w:r>
        <w:rPr>
          <w:szCs w:val="28"/>
        </w:rPr>
        <w:t xml:space="preserve">.</w:t>
      </w:r>
      <w:r/>
    </w:p>
    <w:p>
      <w:pPr>
        <w:ind w:firstLine="567"/>
        <w:jc w:val="both"/>
        <w:tabs>
          <w:tab w:val="left" w:pos="567" w:leader="none"/>
        </w:tabs>
      </w:pPr>
      <w:r>
        <w:rPr>
          <w:szCs w:val="28"/>
        </w:rPr>
        <w:t xml:space="preserve">Розмір коштів і час, що витрачатимуться об’єктами </w:t>
      </w:r>
      <w:r>
        <w:rPr>
          <w:rFonts w:eastAsia="Calibri"/>
          <w:bCs/>
          <w:szCs w:val="28"/>
        </w:rPr>
        <w:t xml:space="preserve">державної форми власності та сфер державного регулювання, пов’яз</w:t>
      </w:r>
      <w:r>
        <w:rPr>
          <w:rFonts w:eastAsia="Calibri"/>
          <w:bCs/>
          <w:szCs w:val="28"/>
        </w:rPr>
        <w:t xml:space="preserve">аними з виконанням вимог акта, </w:t>
      </w:r>
      <w:r>
        <w:rPr>
          <w:rFonts w:eastAsia="Calibri"/>
          <w:bCs/>
          <w:szCs w:val="28"/>
        </w:rPr>
        <w:t xml:space="preserve">не передбачено.</w:t>
      </w:r>
      <w:r/>
    </w:p>
    <w:p>
      <w:pPr>
        <w:ind w:firstLine="720"/>
        <w:jc w:val="both"/>
        <w:tabs>
          <w:tab w:val="left" w:pos="567" w:leader="none"/>
        </w:tabs>
      </w:pPr>
      <w:r/>
      <w:r/>
    </w:p>
    <w:p>
      <w:pPr>
        <w:pStyle w:val="721"/>
        <w:jc w:val="center"/>
        <w:spacing w:after="0" w:line="240" w:lineRule="auto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  <w:t xml:space="preserve">ІХ. Визначення заходів, за допомогою яких здійснюватиметься відстеження результативності дії регуляторного акта</w:t>
      </w:r>
      <w:r/>
    </w:p>
    <w:p>
      <w:pPr>
        <w:pStyle w:val="721"/>
        <w:ind w:firstLine="851"/>
        <w:jc w:val="both"/>
        <w:spacing w:after="0" w:line="240" w:lineRule="auto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</w:r>
      <w:r/>
    </w:p>
    <w:p>
      <w:pPr>
        <w:pStyle w:val="715"/>
        <w:ind w:left="0" w:firstLine="567"/>
        <w:jc w:val="both"/>
        <w:spacing w:after="0" w:line="240" w:lineRule="auto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Базове відстеження результативності акта буде здійснюватися </w:t>
      </w:r>
      <w:r>
        <w:rPr>
          <w:szCs w:val="28"/>
        </w:rPr>
        <w:t xml:space="preserve">через 1 рік після </w:t>
      </w:r>
      <w:r>
        <w:rPr>
          <w:szCs w:val="28"/>
        </w:rPr>
        <w:t xml:space="preserve">набрання чинності цим </w:t>
      </w:r>
      <w:r>
        <w:rPr>
          <w:szCs w:val="28"/>
        </w:rPr>
        <w:t xml:space="preserve">актом</w:t>
      </w:r>
      <w:r>
        <w:rPr>
          <w:szCs w:val="28"/>
        </w:rPr>
        <w:t xml:space="preserve"> шляхом </w:t>
      </w:r>
      <w:r>
        <w:rPr>
          <w:szCs w:val="28"/>
        </w:rPr>
        <w:t xml:space="preserve">збирання</w:t>
      </w:r>
      <w:r>
        <w:rPr>
          <w:szCs w:val="28"/>
        </w:rPr>
        <w:t xml:space="preserve"> пропозицій, зауважень та їх аналізу.</w:t>
      </w:r>
      <w:r/>
    </w:p>
    <w:p>
      <w:pPr>
        <w:pStyle w:val="705"/>
        <w:ind w:firstLine="567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Повторне відстеження результативності здійснюватиметься через </w:t>
      </w:r>
      <w:r>
        <w:rPr>
          <w:szCs w:val="28"/>
        </w:rPr>
        <w:t xml:space="preserve">2 роки</w:t>
      </w:r>
      <w:r>
        <w:rPr>
          <w:szCs w:val="28"/>
        </w:rPr>
        <w:t xml:space="preserve"> після набрання чинності регуляторним актом шляхом аналізу даних порівняно з базовим відстеженням.</w:t>
      </w:r>
      <w:r/>
    </w:p>
    <w:p>
      <w:pPr>
        <w:pStyle w:val="705"/>
        <w:ind w:firstLine="567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Періодичні відстеження здійснюватимуться раз на три роки, починаючи з дня закінчення заходів.</w:t>
      </w:r>
      <w:r/>
    </w:p>
    <w:p>
      <w:pPr>
        <w:pStyle w:val="706"/>
        <w:ind w:firstLine="567"/>
        <w:jc w:val="both"/>
        <w:tabs>
          <w:tab w:val="left" w:pos="567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Відстеження результативності регуляторного акта проводитиметься на підставі аналізу статистичних даних.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pStyle w:val="720"/>
        <w:jc w:val="both"/>
        <w:tabs>
          <w:tab w:val="left" w:pos="-360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М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іністр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/>
    </w:p>
    <w:p>
      <w:pPr>
        <w:pStyle w:val="720"/>
        <w:jc w:val="both"/>
        <w:tabs>
          <w:tab w:val="left" w:pos="-360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внутрішніх справ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України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 xml:space="preserve">Ігор КЛИМЕНКО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  <w:t xml:space="preserve">_</w:t>
      </w:r>
      <w:r>
        <w:rPr>
          <w:szCs w:val="28"/>
        </w:rPr>
        <w:t xml:space="preserve">_</w:t>
      </w:r>
      <w:r>
        <w:rPr>
          <w:szCs w:val="28"/>
        </w:rPr>
        <w:t xml:space="preserve">_</w:t>
      </w:r>
      <w:r>
        <w:rPr>
          <w:szCs w:val="28"/>
        </w:rPr>
        <w:t xml:space="preserve"> </w:t>
      </w:r>
      <w:r>
        <w:rPr>
          <w:szCs w:val="28"/>
        </w:rPr>
        <w:t xml:space="preserve">__</w:t>
      </w:r>
      <w:r>
        <w:rPr>
          <w:szCs w:val="28"/>
        </w:rPr>
        <w:t xml:space="preserve">________</w:t>
      </w:r>
      <w:r>
        <w:rPr>
          <w:szCs w:val="28"/>
        </w:rPr>
        <w:t xml:space="preserve"> 20</w:t>
      </w:r>
      <w:r>
        <w:rPr>
          <w:szCs w:val="28"/>
        </w:rPr>
        <w:t xml:space="preserve">23</w:t>
      </w:r>
      <w:r>
        <w:rPr>
          <w:szCs w:val="28"/>
        </w:rPr>
        <w:t xml:space="preserve"> року</w:t>
      </w:r>
      <w:r/>
    </w:p>
    <w:sectPr>
      <w:headerReference w:type="default" r:id="rId9"/>
      <w:headerReference w:type="even" r:id="rId10"/>
      <w:footnotePr/>
      <w:endnotePr/>
      <w:type w:val="continuous"/>
      <w:pgSz w:w="11900" w:h="16820" w:orient="portrait"/>
      <w:pgMar w:top="1135" w:right="567" w:bottom="1276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ntiqua">
    <w:panose1 w:val="020B060303080402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rPr>
        <w:rStyle w:val="708"/>
        <w:sz w:val="24"/>
        <w:szCs w:val="24"/>
      </w:rPr>
      <w:framePr w:wrap="around" w:vAnchor="text" w:hAnchor="margin" w:xAlign="center" w:y="1"/>
    </w:pPr>
    <w:r>
      <w:rPr>
        <w:rStyle w:val="708"/>
        <w:sz w:val="24"/>
        <w:szCs w:val="24"/>
      </w:rPr>
      <w:fldChar w:fldCharType="begin"/>
    </w:r>
    <w:r>
      <w:rPr>
        <w:rStyle w:val="708"/>
        <w:sz w:val="24"/>
        <w:szCs w:val="24"/>
      </w:rPr>
      <w:instrText xml:space="preserve">PAGE  </w:instrText>
    </w:r>
    <w:r>
      <w:rPr>
        <w:rStyle w:val="708"/>
        <w:sz w:val="24"/>
        <w:szCs w:val="24"/>
      </w:rPr>
      <w:fldChar w:fldCharType="separate"/>
    </w:r>
    <w:r>
      <w:rPr>
        <w:rStyle w:val="708"/>
        <w:sz w:val="24"/>
        <w:szCs w:val="24"/>
      </w:rPr>
      <w:t xml:space="preserve">4</w:t>
    </w:r>
    <w:r>
      <w:rPr>
        <w:rStyle w:val="708"/>
        <w:sz w:val="24"/>
        <w:szCs w:val="24"/>
      </w:rPr>
      <w:fldChar w:fldCharType="end"/>
    </w:r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rPr>
        <w:rStyle w:val="708"/>
      </w:rPr>
      <w:framePr w:wrap="around" w:vAnchor="text" w:hAnchor="margin" w:xAlign="center" w:y="1"/>
    </w:pPr>
    <w:r>
      <w:rPr>
        <w:rStyle w:val="708"/>
      </w:rPr>
      <w:fldChar w:fldCharType="begin"/>
    </w:r>
    <w:r>
      <w:rPr>
        <w:rStyle w:val="708"/>
      </w:rPr>
      <w:instrText xml:space="preserve">PAGE  </w:instrText>
    </w:r>
    <w:r>
      <w:rPr>
        <w:rStyle w:val="708"/>
      </w:rPr>
      <w:fldChar w:fldCharType="end"/>
    </w:r>
    <w:r/>
  </w:p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6030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1410" w:hanging="1050"/>
        <w:tabs>
          <w:tab w:val="num" w:pos="141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4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7030a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35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 w:eastAsia="Times New Roman" w:cs="Times New Roman"/>
        <w:b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0"/>
    <w:next w:val="7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0"/>
    <w:next w:val="7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0"/>
    <w:next w:val="7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0"/>
    <w:next w:val="7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2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02"/>
    <w:link w:val="701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0"/>
    <w:next w:val="7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0"/>
    <w:next w:val="7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0"/>
    <w:next w:val="7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0"/>
    <w:next w:val="7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0"/>
    <w:uiPriority w:val="34"/>
    <w:qFormat/>
    <w:pPr>
      <w:contextualSpacing/>
      <w:ind w:left="720"/>
    </w:pPr>
  </w:style>
  <w:style w:type="paragraph" w:styleId="33">
    <w:name w:val="Title"/>
    <w:basedOn w:val="700"/>
    <w:next w:val="7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2"/>
    <w:link w:val="33"/>
    <w:uiPriority w:val="10"/>
    <w:rPr>
      <w:sz w:val="48"/>
      <w:szCs w:val="48"/>
    </w:rPr>
  </w:style>
  <w:style w:type="paragraph" w:styleId="35">
    <w:name w:val="Subtitle"/>
    <w:basedOn w:val="700"/>
    <w:next w:val="7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2"/>
    <w:link w:val="35"/>
    <w:uiPriority w:val="11"/>
    <w:rPr>
      <w:sz w:val="24"/>
      <w:szCs w:val="24"/>
    </w:rPr>
  </w:style>
  <w:style w:type="paragraph" w:styleId="37">
    <w:name w:val="Quote"/>
    <w:basedOn w:val="700"/>
    <w:next w:val="7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0"/>
    <w:next w:val="7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2"/>
    <w:link w:val="707"/>
    <w:uiPriority w:val="99"/>
  </w:style>
  <w:style w:type="character" w:styleId="44">
    <w:name w:val="Footer Char"/>
    <w:basedOn w:val="702"/>
    <w:link w:val="734"/>
    <w:uiPriority w:val="99"/>
  </w:style>
  <w:style w:type="paragraph" w:styleId="45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34"/>
    <w:uiPriority w:val="99"/>
  </w:style>
  <w:style w:type="table" w:styleId="48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17"/>
    <w:uiPriority w:val="99"/>
    <w:rPr>
      <w:sz w:val="18"/>
    </w:rPr>
  </w:style>
  <w:style w:type="paragraph" w:styleId="177">
    <w:name w:val="endnote text"/>
    <w:basedOn w:val="7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2"/>
    <w:uiPriority w:val="99"/>
    <w:semiHidden/>
    <w:unhideWhenUsed/>
    <w:rPr>
      <w:vertAlign w:val="superscript"/>
    </w:rPr>
  </w:style>
  <w:style w:type="paragraph" w:styleId="180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qFormat/>
    <w:rPr>
      <w:sz w:val="28"/>
      <w:lang w:val="uk-UA"/>
    </w:rPr>
  </w:style>
  <w:style w:type="paragraph" w:styleId="701">
    <w:name w:val="Heading 5"/>
    <w:basedOn w:val="700"/>
    <w:link w:val="746"/>
    <w:uiPriority w:val="9"/>
    <w:qFormat/>
    <w:pPr>
      <w:spacing w:before="100" w:beforeAutospacing="1" w:after="100" w:afterAutospacing="1"/>
      <w:outlineLvl w:val="4"/>
    </w:pPr>
    <w:rPr>
      <w:b/>
      <w:bCs/>
      <w:sz w:val="20"/>
      <w:lang w:val="ru-RU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Body Text Indent"/>
    <w:basedOn w:val="700"/>
    <w:pPr>
      <w:ind w:firstLine="851"/>
      <w:jc w:val="both"/>
    </w:pPr>
  </w:style>
  <w:style w:type="paragraph" w:styleId="706">
    <w:name w:val="Body Text 3"/>
    <w:basedOn w:val="700"/>
    <w:pPr>
      <w:jc w:val="center"/>
    </w:pPr>
    <w:rPr>
      <w:b/>
      <w:sz w:val="34"/>
    </w:rPr>
  </w:style>
  <w:style w:type="paragraph" w:styleId="707">
    <w:name w:val="Header"/>
    <w:basedOn w:val="700"/>
    <w:pPr>
      <w:tabs>
        <w:tab w:val="center" w:pos="4677" w:leader="none"/>
        <w:tab w:val="right" w:pos="9355" w:leader="none"/>
      </w:tabs>
    </w:pPr>
  </w:style>
  <w:style w:type="character" w:styleId="708">
    <w:name w:val="page number"/>
    <w:basedOn w:val="702"/>
  </w:style>
  <w:style w:type="paragraph" w:styleId="709" w:customStyle="1">
    <w:name w:val="Стиль Знак"/>
    <w:basedOn w:val="700"/>
    <w:rPr>
      <w:rFonts w:ascii="Verdana" w:hAnsi="Verdana" w:cs="Verdana"/>
      <w:sz w:val="20"/>
      <w:lang w:val="en-US" w:eastAsia="en-US"/>
    </w:rPr>
  </w:style>
  <w:style w:type="paragraph" w:styleId="710" w:customStyle="1">
    <w:name w:val="Нормальний текст"/>
    <w:basedOn w:val="700"/>
    <w:pPr>
      <w:ind w:firstLine="567"/>
      <w:spacing w:before="120"/>
    </w:pPr>
    <w:rPr>
      <w:rFonts w:ascii="Antiqua" w:hAnsi="Antiqua"/>
      <w:sz w:val="26"/>
    </w:rPr>
  </w:style>
  <w:style w:type="paragraph" w:styleId="711" w:customStyle="1">
    <w:name w:val="Знак"/>
    <w:basedOn w:val="700"/>
    <w:rPr>
      <w:rFonts w:ascii="Verdana" w:hAnsi="Verdana" w:cs="Verdana"/>
      <w:sz w:val="20"/>
      <w:lang w:val="en-US" w:eastAsia="en-US"/>
    </w:rPr>
  </w:style>
  <w:style w:type="paragraph" w:styleId="712" w:customStyle="1">
    <w:name w:val="Знак Знак"/>
    <w:basedOn w:val="700"/>
    <w:rPr>
      <w:rFonts w:ascii="Verdana" w:hAnsi="Verdana" w:cs="Verdana"/>
      <w:sz w:val="20"/>
      <w:lang w:val="en-US" w:eastAsia="en-US"/>
    </w:rPr>
  </w:style>
  <w:style w:type="paragraph" w:styleId="713" w:customStyle="1">
    <w:name w:val="Знак Знак Знак Знак"/>
    <w:basedOn w:val="700"/>
    <w:rPr>
      <w:rFonts w:ascii="Verdana" w:hAnsi="Verdana" w:cs="Verdana"/>
      <w:sz w:val="20"/>
      <w:lang w:val="en-US" w:eastAsia="en-US"/>
    </w:rPr>
  </w:style>
  <w:style w:type="paragraph" w:styleId="714">
    <w:name w:val="Balloon Text"/>
    <w:basedOn w:val="700"/>
    <w:semiHidden/>
    <w:rPr>
      <w:rFonts w:ascii="Tahoma" w:hAnsi="Tahoma" w:cs="Tahoma"/>
      <w:sz w:val="16"/>
      <w:szCs w:val="16"/>
    </w:rPr>
  </w:style>
  <w:style w:type="paragraph" w:styleId="715">
    <w:name w:val="Body Text Indent 2"/>
    <w:basedOn w:val="700"/>
    <w:pPr>
      <w:ind w:left="283"/>
      <w:spacing w:after="120" w:line="480" w:lineRule="auto"/>
    </w:pPr>
  </w:style>
  <w:style w:type="paragraph" w:styleId="716">
    <w:name w:val="Body Text Indent 3"/>
    <w:basedOn w:val="700"/>
    <w:pPr>
      <w:ind w:left="283"/>
      <w:spacing w:after="120"/>
    </w:pPr>
    <w:rPr>
      <w:sz w:val="16"/>
      <w:szCs w:val="16"/>
    </w:rPr>
  </w:style>
  <w:style w:type="paragraph" w:styleId="717">
    <w:name w:val="footnote text"/>
    <w:basedOn w:val="700"/>
    <w:semiHidden/>
    <w:rPr>
      <w:sz w:val="20"/>
      <w:lang w:val="en-US"/>
    </w:rPr>
  </w:style>
  <w:style w:type="character" w:styleId="718">
    <w:name w:val="footnote reference"/>
    <w:semiHidden/>
    <w:rPr>
      <w:vertAlign w:val="superscript"/>
    </w:rPr>
  </w:style>
  <w:style w:type="table" w:styleId="719">
    <w:name w:val="Table Grid"/>
    <w:basedOn w:val="70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0">
    <w:name w:val="HTML Preformatted"/>
    <w:basedOn w:val="700"/>
    <w:link w:val="742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22"/>
      <w:szCs w:val="22"/>
    </w:rPr>
  </w:style>
  <w:style w:type="paragraph" w:styleId="721">
    <w:name w:val="Body Text 2"/>
    <w:basedOn w:val="700"/>
    <w:pPr>
      <w:spacing w:after="120" w:line="480" w:lineRule="auto"/>
    </w:pPr>
  </w:style>
  <w:style w:type="paragraph" w:styleId="722">
    <w:name w:val="Normal Indent"/>
    <w:basedOn w:val="700"/>
    <w:pPr>
      <w:ind w:left="708"/>
    </w:pPr>
    <w:rPr>
      <w:sz w:val="20"/>
      <w:lang w:eastAsia="uk-UA"/>
    </w:rPr>
  </w:style>
  <w:style w:type="paragraph" w:styleId="723" w:customStyle="1">
    <w:name w:val="Назва документа"/>
    <w:basedOn w:val="700"/>
    <w:next w:val="700"/>
    <w:pPr>
      <w:jc w:val="center"/>
      <w:keepLines/>
      <w:keepNext/>
      <w:spacing w:before="240" w:after="240"/>
    </w:pPr>
    <w:rPr>
      <w:rFonts w:ascii="Antiqua" w:hAnsi="Antiqua"/>
      <w:b/>
      <w:sz w:val="26"/>
    </w:rPr>
  </w:style>
  <w:style w:type="character" w:styleId="724" w:customStyle="1">
    <w:name w:val="rvts0"/>
    <w:basedOn w:val="702"/>
  </w:style>
  <w:style w:type="character" w:styleId="725" w:customStyle="1">
    <w:name w:val="Font Style11"/>
    <w:rPr>
      <w:rFonts w:ascii="Times New Roman" w:hAnsi="Times New Roman" w:cs="Times New Roman"/>
      <w:sz w:val="22"/>
      <w:szCs w:val="22"/>
    </w:rPr>
  </w:style>
  <w:style w:type="paragraph" w:styleId="726">
    <w:name w:val="No Spacing"/>
    <w:uiPriority w:val="1"/>
    <w:qFormat/>
    <w:rPr>
      <w:rFonts w:eastAsia="Calibri"/>
      <w:sz w:val="28"/>
      <w:szCs w:val="28"/>
      <w:lang w:val="uk-UA" w:eastAsia="en-US"/>
    </w:rPr>
  </w:style>
  <w:style w:type="character" w:styleId="727" w:customStyle="1">
    <w:name w:val="rvts23"/>
    <w:basedOn w:val="702"/>
  </w:style>
  <w:style w:type="character" w:styleId="728">
    <w:name w:val="Hyperlink"/>
    <w:rPr>
      <w:color w:val="0000ff"/>
      <w:u w:val="single"/>
    </w:rPr>
  </w:style>
  <w:style w:type="paragraph" w:styleId="729" w:customStyle="1">
    <w:name w:val="rvps7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730" w:customStyle="1">
    <w:name w:val="rvts9"/>
    <w:basedOn w:val="702"/>
  </w:style>
  <w:style w:type="paragraph" w:styleId="731" w:customStyle="1">
    <w:name w:val="rvps6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732" w:customStyle="1">
    <w:name w:val="rvps2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733" w:customStyle="1">
    <w:name w:val="rvps14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734">
    <w:name w:val="Footer"/>
    <w:basedOn w:val="700"/>
    <w:pPr>
      <w:tabs>
        <w:tab w:val="center" w:pos="4677" w:leader="none"/>
        <w:tab w:val="right" w:pos="9355" w:leader="none"/>
      </w:tabs>
    </w:pPr>
  </w:style>
  <w:style w:type="character" w:styleId="735" w:customStyle="1">
    <w:name w:val="rvts15"/>
    <w:basedOn w:val="702"/>
  </w:style>
  <w:style w:type="paragraph" w:styleId="736" w:customStyle="1">
    <w:name w:val="rvps12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737" w:customStyle="1">
    <w:name w:val="rvps3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738" w:customStyle="1">
    <w:name w:val="rvps8"/>
    <w:basedOn w:val="70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739" w:customStyle="1">
    <w:name w:val="rvts82"/>
    <w:basedOn w:val="702"/>
  </w:style>
  <w:style w:type="character" w:styleId="740" w:customStyle="1">
    <w:name w:val="rvts58"/>
    <w:basedOn w:val="702"/>
  </w:style>
  <w:style w:type="character" w:styleId="741" w:customStyle="1">
    <w:name w:val="rvts11"/>
    <w:basedOn w:val="702"/>
  </w:style>
  <w:style w:type="character" w:styleId="742" w:customStyle="1">
    <w:name w:val="Стандартный HTML Знак"/>
    <w:link w:val="720"/>
    <w:uiPriority w:val="99"/>
    <w:rPr>
      <w:rFonts w:ascii="Courier New" w:hAnsi="Courier New" w:cs="Courier New"/>
      <w:color w:val="000000"/>
      <w:sz w:val="22"/>
      <w:szCs w:val="22"/>
    </w:rPr>
  </w:style>
  <w:style w:type="character" w:styleId="743" w:customStyle="1">
    <w:name w:val="spelle"/>
    <w:basedOn w:val="702"/>
  </w:style>
  <w:style w:type="character" w:styleId="744">
    <w:name w:val="Emphasis"/>
    <w:uiPriority w:val="20"/>
    <w:qFormat/>
    <w:rPr>
      <w:i/>
      <w:iCs/>
    </w:rPr>
  </w:style>
  <w:style w:type="paragraph" w:styleId="745">
    <w:name w:val="Normal (Web)"/>
    <w:basedOn w:val="700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746" w:customStyle="1">
    <w:name w:val="Заголовок 5 Знак"/>
    <w:basedOn w:val="702"/>
    <w:link w:val="701"/>
    <w:uiPriority w:val="9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87D0-26CE-4F7D-AADC-0DC01E8E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Unknown</dc:creator>
  <cp:lastModifiedBy>Гонтар Марина Трохимівна</cp:lastModifiedBy>
  <cp:revision>7</cp:revision>
  <dcterms:created xsi:type="dcterms:W3CDTF">2023-04-03T07:52:00Z</dcterms:created>
  <dcterms:modified xsi:type="dcterms:W3CDTF">2023-04-27T09:00:33Z</dcterms:modified>
</cp:coreProperties>
</file>