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«ДАВИДЕНКО ПРОТИ УКРАЇНИ»</w:t>
      </w:r>
      <w:r/>
    </w:p>
    <w:p>
      <w:pPr>
        <w:ind w:left="-567" w:right="-284" w:firstLine="567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DAVYDENKO v. UKRAINE)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45903/16)</w:t>
      </w:r>
      <w:r/>
    </w:p>
    <w:p>
      <w:pPr>
        <w:ind w:left="-567" w:right="-284" w:firstLine="567"/>
        <w:spacing w:after="0" w:line="240" w:lineRule="auto"/>
        <w:tabs>
          <w:tab w:val="left" w:pos="5722" w:leader="none"/>
        </w:tabs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30 березня 2023 року</w:t>
      </w:r>
      <w:r/>
    </w:p>
    <w:p>
      <w:pPr>
        <w:ind w:left="-567" w:right="-284" w:firstLine="567"/>
        <w:jc w:val="both"/>
        <w:spacing w:after="0" w:line="240" w:lineRule="auto"/>
        <w:rPr>
          <w:rFonts w:ascii="Times New Roman" w:hAnsi="Times New Roman" w:cs="Times New Roman"/>
          <w:sz w:val="18"/>
          <w:szCs w:val="10"/>
          <w:lang w:val="uk-UA"/>
        </w:rPr>
      </w:pPr>
      <w:r>
        <w:rPr>
          <w:rFonts w:ascii="Times New Roman" w:hAnsi="Times New Roman" w:cs="Times New Roman"/>
          <w:sz w:val="18"/>
          <w:szCs w:val="10"/>
          <w:lang w:val="uk-UA"/>
        </w:rPr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Майно заявників було знищено під час пожежі, яка, за їх твердженнями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, виникла внаслідок підпалу робітниками, які проводили будівельні роботи у їхньому дачному будинку.</w:t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У квітні 2009 року, за результатами експертного висновку щодо виникнення пожежі внаслідок підпалу було порушено кримінальне провадження. </w:t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За одинадцять з по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ловиною років розслідуваний злочин було декілька разів перекваліфіковано; проведено додаткову експертизу та один із підозрюваних помер. У зв’язку з незадовільним здійсненням розслідування кримінальне провадження було передано до іншого органу досудового ро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зслідування. Кримінальне провадження щонайменше п’ять разів було закрито органом досудового розслідування і знов відновлено за рішеннями національних судів. Станом на жовтень 2020 року розслідування все ще тривало.</w:t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До Європейського суду з прав людини (далі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 – Європейський суд) заявники скаржилися за статтею 1 Першого протоколу до Конвенції про захист прав людини і основоположних свобод (далі – Конвенція) на невиконання державними органами своїх позитивних зобов’язань у зв’язку з непроведенням ефективного роз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слідування у справі про підпал їхнього майна. Також заявники висунули цю скаргу за пунктом 1 статті 6 і статтею 13 Конвенції. Європейський суд </w:t>
      </w:r>
      <w:r>
        <w:rPr>
          <w:rFonts w:ascii="Times New Roman" w:hAnsi="Times New Roman" w:eastAsia="Times New Roman" w:cs="Times New Roman"/>
          <w:sz w:val="24"/>
          <w:szCs w:val="24"/>
          <w:lang w:val="uk-UA" w:eastAsia="fr-FR"/>
        </w:rPr>
        <w:t xml:space="preserve">вирішив 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розглянути скаргу заявників за статтею 1 Першого протоколу до Конвенції.</w:t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Розглянувши скаргу заявників Євр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опейський суд зауважив, що заявники не могли подати цивільний позов у межах кримінального провадження, оскільки згідно з національним законодавством такий позов міг бути поданий, лише після встановлення особи підозрюваного чи обвинуваченого.</w:t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Європейський с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уд зазначив, що національні суди неодноразово визнавали дії, здійснені в межах розслідування, недостатніми, а постанови про закриття кримінального провадження – необґрунтованими та передчасними. Прокуратура також вважала, що для просування розслідування не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обхідно було здійснити додаткові дії, які національні органи влади, не наводячи жодних причин, не здійснили. Все це і затягнуло процес розслідування, що унеможливило для заявників подання позовів про відшкодування шкоди.</w:t>
      </w:r>
      <w:r/>
    </w:p>
    <w:p>
      <w:pPr>
        <w:ind w:left="-426" w:right="-142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З огляду на поєднання цих обставин 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Європейський суд вказав, що цивільне провадження не мало б шансів на успіх, і що це було прямим наслідком грубих та серйозних недоліків, які характеризували проведення розслідування. Європейський суд дійшов висновку, що держава не виконала своїх позитивних</w:t>
      </w:r>
      <w:r>
        <w:rPr>
          <w:rFonts w:ascii="Times New Roman" w:hAnsi="Times New Roman" w:eastAsia="Times New Roman" w:cs="Times New Roman"/>
          <w:sz w:val="24"/>
          <w:szCs w:val="24"/>
          <w:lang w:val="uk-UA" w:eastAsia="en-US"/>
        </w:rPr>
        <w:t xml:space="preserve"> зобов’язань у зв’язку з майном заявників, та констатував порушення статті 1 Першого протоколу до Конвенції.</w:t>
      </w:r>
      <w:r/>
    </w:p>
    <w:p>
      <w:pPr>
        <w:ind w:left="-426" w:right="-284" w:firstLine="567"/>
        <w:jc w:val="both"/>
        <w:spacing w:after="0" w:line="240" w:lineRule="auto"/>
        <w:rPr>
          <w:rFonts w:ascii="Times New Roman" w:hAnsi="Times New Roman" w:eastAsia="PMingLiU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PMingLiU" w:cs="Times New Roman"/>
          <w:sz w:val="24"/>
          <w:szCs w:val="24"/>
          <w:lang w:val="uk-UA" w:eastAsia="en-US"/>
        </w:rPr>
      </w:r>
      <w:r/>
    </w:p>
    <w:p>
      <w:pPr>
        <w:pStyle w:val="825"/>
        <w:ind w:left="-567" w:right="-142" w:firstLine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ЗА ЦИХ ПІДСТАВ СУД ОДНОГОЛОСНО</w:t>
      </w:r>
      <w:r/>
    </w:p>
    <w:p>
      <w:pPr>
        <w:pStyle w:val="825"/>
        <w:ind w:left="-567" w:right="-142" w:firstLine="0"/>
        <w:rPr>
          <w:rFonts w:ascii="Times New Roman" w:hAnsi="Times New Roman" w:cs="Times New Roman"/>
          <w:sz w:val="22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4"/>
          <w:lang w:val="uk-UA"/>
        </w:rPr>
      </w:r>
      <w:r/>
    </w:p>
    <w:p>
      <w:pPr>
        <w:pStyle w:val="823"/>
        <w:ind w:left="-567" w:right="-284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«1.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Оголошує</w:t>
      </w:r>
      <w:r>
        <w:rPr>
          <w:rFonts w:ascii="Times New Roman" w:hAnsi="Times New Roman" w:cs="Times New Roman"/>
          <w:lang w:val="uk-UA"/>
        </w:rPr>
        <w:t xml:space="preserve"> заяву прийнятною;</w:t>
      </w:r>
      <w:r/>
    </w:p>
    <w:p>
      <w:pPr>
        <w:pStyle w:val="823"/>
        <w:ind w:left="-567" w:right="-284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2.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Постановляє</w:t>
      </w:r>
      <w:r>
        <w:rPr>
          <w:rFonts w:ascii="Times New Roman" w:hAnsi="Times New Roman" w:cs="Times New Roman"/>
          <w:lang w:val="uk-UA"/>
        </w:rPr>
        <w:t xml:space="preserve">, що було порушено статтю 1 Першого протоколу до Конвенції; </w:t>
      </w:r>
      <w:r/>
    </w:p>
    <w:p>
      <w:pPr>
        <w:pStyle w:val="823"/>
        <w:ind w:left="-567" w:right="-284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Постановляє,</w:t>
      </w:r>
      <w:r>
        <w:rPr>
          <w:rFonts w:ascii="Times New Roman" w:hAnsi="Times New Roman" w:cs="Times New Roman"/>
          <w:lang w:val="uk-UA"/>
        </w:rPr>
        <w:t xml:space="preserve"> що:</w:t>
      </w:r>
      <w:r/>
    </w:p>
    <w:p>
      <w:pPr>
        <w:pStyle w:val="824"/>
        <w:numPr>
          <w:ilvl w:val="1"/>
          <w:numId w:val="0"/>
        </w:numPr>
        <w:ind w:left="680" w:hanging="340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Cs/>
          <w:szCs w:val="24"/>
          <w:lang w:val="uk-UA"/>
        </w:rPr>
        <w:t xml:space="preserve">(а) </w:t>
      </w:r>
      <w:r>
        <w:rPr>
          <w:rFonts w:ascii="Times New Roman" w:hAnsi="Times New Roman" w:cs="Times New Roman"/>
          <w:iCs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упродовж трьох місяців держава-відповідач повинна сплатити заявникам спільно такі суми, які мають бути конвертовані у валюту держави-відповідача за курсом на день здійснення платежу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:</w:t>
      </w:r>
      <w:r/>
    </w:p>
    <w:p>
      <w:pPr>
        <w:pStyle w:val="827"/>
        <w:ind w:left="993" w:hanging="284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ru-RU"/>
        </w:rPr>
        <w:t xml:space="preserve">(</w:t>
      </w:r>
      <w:r>
        <w:rPr>
          <w:rFonts w:ascii="Times New Roman" w:hAnsi="Times New Roman" w:cs="Times New Roman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lang w:val="uk-UA"/>
        </w:rPr>
        <w:t xml:space="preserve">3 000 (три тисячі) євро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якості відшкодування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моральної шкоди</w:t>
      </w:r>
      <w:r>
        <w:rPr>
          <w:rFonts w:ascii="Times New Roman" w:hAnsi="Times New Roman" w:cs="Times New Roman"/>
          <w:szCs w:val="24"/>
          <w:lang w:val="uk-UA"/>
        </w:rPr>
        <w:t xml:space="preserve">;</w:t>
      </w:r>
      <w:r/>
    </w:p>
    <w:p>
      <w:pPr>
        <w:pStyle w:val="827"/>
        <w:ind w:left="993" w:hanging="284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ru-RU"/>
        </w:rPr>
        <w:t xml:space="preserve">(</w:t>
      </w:r>
      <w:r>
        <w:rPr>
          <w:rFonts w:ascii="Times New Roman" w:hAnsi="Times New Roman" w:cs="Times New Roman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lang w:val="uk-UA"/>
        </w:rPr>
        <w:t xml:space="preserve">700 (сімсот) євро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та додатково суму будь-якого податку, що може нараховуватися заявникам</w:t>
      </w:r>
      <w:r>
        <w:rPr>
          <w:rFonts w:ascii="Times New Roman" w:hAnsi="Times New Roman" w:cs="Times New Roman"/>
          <w:lang w:val="uk-UA"/>
        </w:rPr>
        <w:t xml:space="preserve">, в якості компенсації судових та інших витрат</w:t>
      </w:r>
      <w:r>
        <w:rPr>
          <w:rFonts w:ascii="Times New Roman" w:hAnsi="Times New Roman" w:cs="Times New Roman"/>
          <w:szCs w:val="24"/>
          <w:lang w:val="uk-UA"/>
        </w:rPr>
        <w:t xml:space="preserve">;</w:t>
      </w:r>
      <w:r/>
    </w:p>
    <w:p>
      <w:pPr>
        <w:pStyle w:val="824"/>
        <w:numPr>
          <w:ilvl w:val="1"/>
          <w:numId w:val="0"/>
        </w:numPr>
        <w:ind w:left="680" w:hanging="340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iCs/>
          <w:szCs w:val="24"/>
          <w:lang w:val="uk-UA"/>
        </w:rPr>
        <w:t xml:space="preserve">(b)</w:t>
      </w:r>
      <w:r>
        <w:rPr>
          <w:rFonts w:ascii="Times New Roman" w:hAnsi="Times New Roman" w:cs="Times New Roman"/>
          <w:iCs/>
          <w:szCs w:val="24"/>
          <w:lang w:val="uk-UA"/>
        </w:rPr>
        <w:tab/>
      </w:r>
      <w:r>
        <w:rPr>
          <w:rFonts w:ascii="Times New Roman" w:hAnsi="Times New Roman" w:cs="Times New Roman"/>
          <w:iCs/>
          <w:szCs w:val="24"/>
          <w:lang w:val="uk-UA"/>
        </w:rPr>
        <w:t xml:space="preserve">із закінченням зазначеного тримісячного строку до остаточного розрахунку на зазначені суми нараховуватиметься простий відсоток (simple interest) у розмірі граничної позичкової ставки Європейського центрального банку, яка діятиме в період несплати, до якої </w:t>
      </w:r>
      <w:r>
        <w:rPr>
          <w:rFonts w:ascii="Times New Roman" w:hAnsi="Times New Roman" w:cs="Times New Roman"/>
          <w:iCs/>
          <w:szCs w:val="24"/>
          <w:lang w:val="uk-UA"/>
        </w:rPr>
        <w:t xml:space="preserve">має бути додано три відсоткові пункти;</w:t>
      </w:r>
      <w:r/>
    </w:p>
    <w:p>
      <w:pPr>
        <w:pStyle w:val="823"/>
        <w:ind w:left="-567" w:right="-284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Відхиляє</w:t>
      </w:r>
      <w:r>
        <w:rPr>
          <w:rFonts w:ascii="Times New Roman" w:hAnsi="Times New Roman" w:cs="Times New Roman"/>
          <w:lang w:val="uk-UA"/>
        </w:rPr>
        <w:t xml:space="preserve"> решту вимог заявників щодо справедливої сатисфакції».</w:t>
      </w:r>
      <w:r/>
    </w:p>
    <w:sectPr>
      <w:footnotePr/>
      <w:endnotePr/>
      <w:type w:val="nextPage"/>
      <w:pgSz w:w="11906" w:h="16838" w:orient="portrait"/>
      <w:pgMar w:top="426" w:right="850" w:bottom="993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603020101020101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33"/>
    <w:lvl w:ilvl="0">
      <w:start w:val="1"/>
      <w:numFmt w:val="decimal"/>
      <w:pStyle w:val="833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styleLink w:val="847"/>
    <w:lvl w:ilvl="0">
      <w:start w:val="1"/>
      <w:numFmt w:val="upperRoman"/>
      <w:pStyle w:val="847"/>
      <w:isLgl w:val="false"/>
      <w:suff w:val="tab"/>
      <w:lvlText w:val="Article %1."/>
      <w:lvlJc w:val="left"/>
      <w:pPr>
        <w:ind w:left="0" w:firstLine="0"/>
      </w:pPr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isLgl w:val="false"/>
      <w:suff w:val="tab"/>
      <w:lvlText w:val="%9."/>
      <w:lvlJc w:val="right"/>
      <w:pPr>
        <w:ind w:left="1584" w:hanging="144"/>
      </w:pPr>
    </w:lvl>
  </w:abstractNum>
  <w:abstractNum w:abstractNumId="2">
    <w:multiLevelType w:val="hybridMultilevel"/>
    <w:styleLink w:val="834"/>
    <w:lvl w:ilvl="0">
      <w:start w:val="1"/>
      <w:numFmt w:val="decimal"/>
      <w:pStyle w:val="834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lowerLetter"/>
      <w:isLgl w:val="false"/>
      <w:suff w:val="tab"/>
      <w:lvlText w:val="(%2)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(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2"/>
    <w:link w:val="666"/>
    <w:uiPriority w:val="10"/>
    <w:rPr>
      <w:sz w:val="48"/>
      <w:szCs w:val="48"/>
    </w:rPr>
  </w:style>
  <w:style w:type="character" w:styleId="36">
    <w:name w:val="Subtitle Char"/>
    <w:basedOn w:val="652"/>
    <w:link w:val="668"/>
    <w:uiPriority w:val="11"/>
    <w:rPr>
      <w:sz w:val="24"/>
      <w:szCs w:val="24"/>
    </w:rPr>
  </w:style>
  <w:style w:type="character" w:styleId="38">
    <w:name w:val="Quote Char"/>
    <w:link w:val="670"/>
    <w:uiPriority w:val="29"/>
    <w:rPr>
      <w:i/>
    </w:rPr>
  </w:style>
  <w:style w:type="character" w:styleId="40">
    <w:name w:val="Intense Quote Char"/>
    <w:link w:val="672"/>
    <w:uiPriority w:val="30"/>
    <w:rPr>
      <w:i/>
    </w:rPr>
  </w:style>
  <w:style w:type="character" w:styleId="42">
    <w:name w:val="Header Char"/>
    <w:basedOn w:val="652"/>
    <w:link w:val="674"/>
    <w:uiPriority w:val="99"/>
  </w:style>
  <w:style w:type="character" w:styleId="46">
    <w:name w:val="Caption Char"/>
    <w:basedOn w:val="678"/>
    <w:link w:val="676"/>
    <w:uiPriority w:val="99"/>
  </w:style>
  <w:style w:type="character" w:styleId="175">
    <w:name w:val="Footnote Text Char"/>
    <w:link w:val="806"/>
    <w:uiPriority w:val="99"/>
    <w:rPr>
      <w:sz w:val="18"/>
    </w:rPr>
  </w:style>
  <w:style w:type="character" w:styleId="178">
    <w:name w:val="Endnote Text Char"/>
    <w:link w:val="809"/>
    <w:uiPriority w:val="99"/>
    <w:rPr>
      <w:sz w:val="20"/>
    </w:rPr>
  </w:style>
  <w:style w:type="paragraph" w:styleId="642" w:default="1">
    <w:name w:val="Normal"/>
    <w:qFormat/>
    <w:rPr>
      <w:rFonts w:eastAsiaTheme="minorEastAsia"/>
      <w:lang w:eastAsia="ru-RU"/>
    </w:rPr>
  </w:style>
  <w:style w:type="paragraph" w:styleId="643">
    <w:name w:val="Heading 1"/>
    <w:basedOn w:val="642"/>
    <w:next w:val="642"/>
    <w:link w:val="83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4">
    <w:name w:val="Heading 2"/>
    <w:basedOn w:val="642"/>
    <w:next w:val="642"/>
    <w:link w:val="839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5">
    <w:name w:val="Heading 3"/>
    <w:basedOn w:val="642"/>
    <w:next w:val="642"/>
    <w:link w:val="84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6">
    <w:name w:val="Heading 4"/>
    <w:basedOn w:val="642"/>
    <w:next w:val="642"/>
    <w:link w:val="841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7">
    <w:name w:val="Heading 5"/>
    <w:basedOn w:val="642"/>
    <w:next w:val="642"/>
    <w:link w:val="842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48">
    <w:name w:val="Heading 6"/>
    <w:basedOn w:val="642"/>
    <w:next w:val="642"/>
    <w:link w:val="843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49">
    <w:name w:val="Heading 7"/>
    <w:basedOn w:val="642"/>
    <w:next w:val="642"/>
    <w:link w:val="844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50">
    <w:name w:val="Heading 8"/>
    <w:basedOn w:val="642"/>
    <w:next w:val="642"/>
    <w:link w:val="845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651">
    <w:name w:val="Heading 9"/>
    <w:basedOn w:val="642"/>
    <w:next w:val="642"/>
    <w:link w:val="846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uiPriority w:val="9"/>
    <w:rPr>
      <w:rFonts w:ascii="Arial" w:hAnsi="Arial" w:eastAsia="Arial" w:cs="Arial"/>
      <w:sz w:val="40"/>
      <w:szCs w:val="40"/>
    </w:rPr>
  </w:style>
  <w:style w:type="character" w:styleId="656" w:customStyle="1">
    <w:name w:val="Heading 2 Char"/>
    <w:basedOn w:val="652"/>
    <w:uiPriority w:val="9"/>
    <w:rPr>
      <w:rFonts w:ascii="Arial" w:hAnsi="Arial" w:eastAsia="Arial" w:cs="Arial"/>
      <w:sz w:val="34"/>
    </w:rPr>
  </w:style>
  <w:style w:type="character" w:styleId="657" w:customStyle="1">
    <w:name w:val="Heading 3 Char"/>
    <w:basedOn w:val="652"/>
    <w:uiPriority w:val="9"/>
    <w:rPr>
      <w:rFonts w:ascii="Arial" w:hAnsi="Arial" w:eastAsia="Arial" w:cs="Arial"/>
      <w:sz w:val="30"/>
      <w:szCs w:val="30"/>
    </w:rPr>
  </w:style>
  <w:style w:type="character" w:styleId="658" w:customStyle="1">
    <w:name w:val="Heading 4 Char"/>
    <w:basedOn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659" w:customStyle="1">
    <w:name w:val="Heading 5 Char"/>
    <w:basedOn w:val="652"/>
    <w:uiPriority w:val="9"/>
    <w:rPr>
      <w:rFonts w:ascii="Arial" w:hAnsi="Arial" w:eastAsia="Arial" w:cs="Arial"/>
      <w:b/>
      <w:bCs/>
      <w:sz w:val="24"/>
      <w:szCs w:val="24"/>
    </w:rPr>
  </w:style>
  <w:style w:type="character" w:styleId="660" w:customStyle="1">
    <w:name w:val="Heading 6 Char"/>
    <w:basedOn w:val="652"/>
    <w:uiPriority w:val="9"/>
    <w:rPr>
      <w:rFonts w:ascii="Arial" w:hAnsi="Arial" w:eastAsia="Arial" w:cs="Arial"/>
      <w:b/>
      <w:bCs/>
      <w:sz w:val="22"/>
      <w:szCs w:val="22"/>
    </w:rPr>
  </w:style>
  <w:style w:type="character" w:styleId="661" w:customStyle="1">
    <w:name w:val="Heading 7 Char"/>
    <w:basedOn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uiPriority w:val="9"/>
    <w:rPr>
      <w:rFonts w:ascii="Arial" w:hAnsi="Arial" w:eastAsia="Arial" w:cs="Arial"/>
      <w:i/>
      <w:iCs/>
      <w:sz w:val="22"/>
      <w:szCs w:val="22"/>
    </w:rPr>
  </w:style>
  <w:style w:type="character" w:styleId="663" w:customStyle="1">
    <w:name w:val="Heading 9 Char"/>
    <w:basedOn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642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after="0" w:line="240" w:lineRule="auto"/>
    </w:pPr>
  </w:style>
  <w:style w:type="paragraph" w:styleId="666">
    <w:name w:val="Title"/>
    <w:basedOn w:val="642"/>
    <w:next w:val="642"/>
    <w:link w:val="667"/>
    <w:uiPriority w:val="10"/>
    <w:qFormat/>
    <w:pPr>
      <w:contextualSpacing/>
      <w:spacing w:before="300"/>
    </w:pPr>
    <w:rPr>
      <w:sz w:val="48"/>
      <w:szCs w:val="48"/>
    </w:rPr>
  </w:style>
  <w:style w:type="character" w:styleId="667" w:customStyle="1">
    <w:name w:val="Назва Знак"/>
    <w:basedOn w:val="652"/>
    <w:link w:val="666"/>
    <w:uiPriority w:val="10"/>
    <w:rPr>
      <w:sz w:val="48"/>
      <w:szCs w:val="48"/>
    </w:rPr>
  </w:style>
  <w:style w:type="paragraph" w:styleId="668">
    <w:name w:val="Subtitle"/>
    <w:basedOn w:val="642"/>
    <w:next w:val="642"/>
    <w:link w:val="669"/>
    <w:uiPriority w:val="11"/>
    <w:qFormat/>
    <w:pPr>
      <w:spacing w:before="200"/>
    </w:pPr>
    <w:rPr>
      <w:sz w:val="24"/>
      <w:szCs w:val="24"/>
    </w:rPr>
  </w:style>
  <w:style w:type="character" w:styleId="669" w:customStyle="1">
    <w:name w:val="Підзаголовок Знак"/>
    <w:basedOn w:val="652"/>
    <w:link w:val="668"/>
    <w:uiPriority w:val="11"/>
    <w:rPr>
      <w:sz w:val="24"/>
      <w:szCs w:val="24"/>
    </w:rPr>
  </w:style>
  <w:style w:type="paragraph" w:styleId="670">
    <w:name w:val="Quote"/>
    <w:basedOn w:val="642"/>
    <w:next w:val="642"/>
    <w:link w:val="671"/>
    <w:uiPriority w:val="29"/>
    <w:qFormat/>
    <w:pPr>
      <w:ind w:left="720" w:right="720"/>
    </w:pPr>
    <w:rPr>
      <w:i/>
    </w:r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2"/>
    <w:next w:val="642"/>
    <w:link w:val="6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2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2"/>
    <w:link w:val="674"/>
    <w:uiPriority w:val="99"/>
  </w:style>
  <w:style w:type="paragraph" w:styleId="676">
    <w:name w:val="Footer"/>
    <w:basedOn w:val="642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2"/>
    <w:uiPriority w:val="99"/>
  </w:style>
  <w:style w:type="paragraph" w:styleId="678">
    <w:name w:val="Caption"/>
    <w:basedOn w:val="642"/>
    <w:next w:val="64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1" w:customStyle="1">
    <w:name w:val="Table Grid Light"/>
    <w:basedOn w:val="6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2">
    <w:name w:val="Plain Table 1"/>
    <w:basedOn w:val="6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5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 w:customStyle="1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0" w:customStyle="1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1" w:customStyle="1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2" w:customStyle="1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3" w:customStyle="1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4" w:customStyle="1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5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2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2" w:customStyle="1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3" w:customStyle="1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5" w:customStyle="1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7" w:customStyle="1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8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ned - Accent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6" w:customStyle="1">
    <w:name w:val="Lined - Accent 1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7" w:customStyle="1">
    <w:name w:val="Lined - Accent 2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8" w:customStyle="1">
    <w:name w:val="Lined - Accent 3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9" w:customStyle="1">
    <w:name w:val="Lined - Accent 4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0" w:customStyle="1">
    <w:name w:val="Lined - Accent 5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1" w:customStyle="1">
    <w:name w:val="Lined - Accent 6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2" w:customStyle="1">
    <w:name w:val="Bordered &amp; Lined - Accent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Bordered &amp; Lined - Accent 1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4" w:customStyle="1">
    <w:name w:val="Bordered &amp; Lined - Accent 2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5" w:customStyle="1">
    <w:name w:val="Bordered &amp; Lined - Accent 3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6" w:customStyle="1">
    <w:name w:val="Bordered &amp; Lined - Accent 4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7" w:customStyle="1">
    <w:name w:val="Bordered &amp; Lined - Accent 5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8" w:customStyle="1">
    <w:name w:val="Bordered &amp; Lined - Accent 6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9" w:customStyle="1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0" w:customStyle="1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1" w:customStyle="1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2" w:customStyle="1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3" w:customStyle="1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4" w:customStyle="1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5" w:customStyle="1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06">
    <w:name w:val="footnote text"/>
    <w:basedOn w:val="642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 w:customStyle="1">
    <w:name w:val="Текст виноски Знак"/>
    <w:link w:val="806"/>
    <w:uiPriority w:val="99"/>
    <w:rPr>
      <w:sz w:val="18"/>
    </w:rPr>
  </w:style>
  <w:style w:type="character" w:styleId="808">
    <w:name w:val="footnote reference"/>
    <w:basedOn w:val="652"/>
    <w:uiPriority w:val="99"/>
    <w:unhideWhenUsed/>
    <w:rPr>
      <w:vertAlign w:val="superscript"/>
    </w:rPr>
  </w:style>
  <w:style w:type="paragraph" w:styleId="809">
    <w:name w:val="endnote text"/>
    <w:basedOn w:val="642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 w:customStyle="1">
    <w:name w:val="Текст кінцевої виноски Знак"/>
    <w:link w:val="809"/>
    <w:uiPriority w:val="99"/>
    <w:rPr>
      <w:sz w:val="20"/>
    </w:rPr>
  </w:style>
  <w:style w:type="character" w:styleId="811">
    <w:name w:val="endnote reference"/>
    <w:basedOn w:val="652"/>
    <w:uiPriority w:val="99"/>
    <w:semiHidden/>
    <w:unhideWhenUsed/>
    <w:rPr>
      <w:vertAlign w:val="superscript"/>
    </w:rPr>
  </w:style>
  <w:style w:type="paragraph" w:styleId="812">
    <w:name w:val="toc 1"/>
    <w:basedOn w:val="642"/>
    <w:next w:val="642"/>
    <w:uiPriority w:val="39"/>
    <w:unhideWhenUsed/>
    <w:pPr>
      <w:spacing w:after="57"/>
    </w:pPr>
  </w:style>
  <w:style w:type="paragraph" w:styleId="813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4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5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6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7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8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9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20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642"/>
    <w:next w:val="642"/>
    <w:uiPriority w:val="99"/>
    <w:unhideWhenUsed/>
    <w:pPr>
      <w:spacing w:after="0"/>
    </w:pPr>
  </w:style>
  <w:style w:type="paragraph" w:styleId="823" w:customStyle="1">
    <w:name w:val="Ju_List"/>
    <w:basedOn w:val="642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24" w:customStyle="1">
    <w:name w:val="Ju_List_a"/>
    <w:basedOn w:val="823"/>
    <w:uiPriority w:val="23"/>
    <w:qFormat/>
    <w:pPr>
      <w:ind w:left="346" w:firstLine="0"/>
    </w:pPr>
  </w:style>
  <w:style w:type="paragraph" w:styleId="825" w:customStyle="1">
    <w:name w:val="ECHR_Para"/>
    <w:basedOn w:val="642"/>
    <w:link w:val="826"/>
    <w:uiPriority w:val="4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826" w:customStyle="1">
    <w:name w:val="ECHR_Para Char"/>
    <w:basedOn w:val="652"/>
    <w:link w:val="825"/>
    <w:uiPriority w:val="4"/>
    <w:qFormat/>
    <w:rPr>
      <w:rFonts w:eastAsiaTheme="minorEastAsia"/>
      <w:sz w:val="24"/>
      <w:lang w:val="en-US"/>
    </w:rPr>
  </w:style>
  <w:style w:type="paragraph" w:styleId="827" w:customStyle="1">
    <w:name w:val="Ju_List_i"/>
    <w:basedOn w:val="642"/>
    <w:uiPriority w:val="23"/>
    <w:pPr>
      <w:jc w:val="both"/>
      <w:spacing w:after="0" w:line="240" w:lineRule="auto"/>
      <w:tabs>
        <w:tab w:val="num" w:pos="360" w:leader="none"/>
      </w:tabs>
    </w:pPr>
    <w:rPr>
      <w:sz w:val="24"/>
      <w:lang w:val="en-GB" w:eastAsia="en-US"/>
    </w:rPr>
  </w:style>
  <w:style w:type="character" w:styleId="828" w:customStyle="1">
    <w:name w:val="sb8d990e2"/>
    <w:basedOn w:val="652"/>
  </w:style>
  <w:style w:type="character" w:styleId="829" w:customStyle="1">
    <w:name w:val="s6b621b36"/>
    <w:basedOn w:val="652"/>
  </w:style>
  <w:style w:type="paragraph" w:styleId="830">
    <w:name w:val="Balloon Text"/>
    <w:basedOn w:val="642"/>
    <w:link w:val="83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1" w:customStyle="1">
    <w:name w:val="Текст у виносці Знак"/>
    <w:basedOn w:val="652"/>
    <w:link w:val="830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832" w:customStyle="1">
    <w:name w:val="Ju_Para Car"/>
    <w:rPr>
      <w:rFonts w:ascii="Times New Roman" w:hAnsi="Times New Roman" w:cs="Times New Roman" w:eastAsiaTheme="minorEastAsia"/>
      <w:sz w:val="24"/>
      <w:lang w:val="en-US"/>
    </w:rPr>
  </w:style>
  <w:style w:type="numbering" w:styleId="833" w:customStyle="1">
    <w:name w:val="ECHR_A1_Style_List"/>
    <w:basedOn w:val="654"/>
    <w:uiPriority w:val="99"/>
    <w:pPr>
      <w:numPr>
        <w:numId w:val="2"/>
      </w:numPr>
    </w:pPr>
  </w:style>
  <w:style w:type="numbering" w:styleId="834">
    <w:name w:val="Outline List 1"/>
    <w:basedOn w:val="654"/>
    <w:uiPriority w:val="99"/>
    <w:semiHidden/>
    <w:unhideWhenUsed/>
    <w:pPr>
      <w:numPr>
        <w:numId w:val="3"/>
      </w:numPr>
    </w:pPr>
  </w:style>
  <w:style w:type="character" w:styleId="835" w:customStyle="1">
    <w:name w:val="s68f5eaef"/>
    <w:basedOn w:val="652"/>
  </w:style>
  <w:style w:type="character" w:styleId="836" w:customStyle="1">
    <w:name w:val="sba5e0277"/>
    <w:basedOn w:val="652"/>
  </w:style>
  <w:style w:type="character" w:styleId="837" w:customStyle="1">
    <w:name w:val="s512f4ebd"/>
    <w:basedOn w:val="652"/>
  </w:style>
  <w:style w:type="character" w:styleId="838" w:customStyle="1">
    <w:name w:val="Заголовок 1 Знак"/>
    <w:basedOn w:val="652"/>
    <w:link w:val="64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839" w:customStyle="1">
    <w:name w:val="Заголовок 2 Знак"/>
    <w:basedOn w:val="652"/>
    <w:link w:val="644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40" w:customStyle="1">
    <w:name w:val="Заголовок 3 Знак"/>
    <w:basedOn w:val="652"/>
    <w:link w:val="64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character" w:styleId="841" w:customStyle="1">
    <w:name w:val="Заголовок 4 Знак"/>
    <w:basedOn w:val="652"/>
    <w:link w:val="646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lang w:eastAsia="ru-RU"/>
    </w:rPr>
  </w:style>
  <w:style w:type="character" w:styleId="842" w:customStyle="1">
    <w:name w:val="Заголовок 5 Знак"/>
    <w:basedOn w:val="652"/>
    <w:link w:val="647"/>
    <w:uiPriority w:val="9"/>
    <w:semiHidden/>
    <w:rPr>
      <w:rFonts w:asciiTheme="majorHAnsi" w:hAnsiTheme="majorHAnsi" w:eastAsiaTheme="majorEastAsia" w:cstheme="majorBidi"/>
      <w:color w:val="243f60" w:themeColor="accent1" w:themeShade="7F"/>
      <w:lang w:eastAsia="ru-RU"/>
    </w:rPr>
  </w:style>
  <w:style w:type="character" w:styleId="843" w:customStyle="1">
    <w:name w:val="Заголовок 6 Знак"/>
    <w:basedOn w:val="652"/>
    <w:link w:val="648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  <w:lang w:eastAsia="ru-RU"/>
    </w:rPr>
  </w:style>
  <w:style w:type="character" w:styleId="844" w:customStyle="1">
    <w:name w:val="Заголовок 7 Знак"/>
    <w:basedOn w:val="652"/>
    <w:link w:val="64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lang w:eastAsia="ru-RU"/>
    </w:rPr>
  </w:style>
  <w:style w:type="character" w:styleId="845" w:customStyle="1">
    <w:name w:val="Заголовок 8 Знак"/>
    <w:basedOn w:val="652"/>
    <w:link w:val="650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</w:rPr>
  </w:style>
  <w:style w:type="character" w:styleId="846" w:customStyle="1">
    <w:name w:val="Заголовок 9 Знак"/>
    <w:basedOn w:val="652"/>
    <w:link w:val="651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</w:rPr>
  </w:style>
  <w:style w:type="numbering" w:styleId="847">
    <w:name w:val="Outline List 3"/>
    <w:basedOn w:val="654"/>
    <w:uiPriority w:val="99"/>
    <w:semiHidden/>
    <w:unhideWhenUsed/>
    <w:pPr>
      <w:numPr>
        <w:numId w:val="4"/>
      </w:numPr>
    </w:pPr>
  </w:style>
  <w:style w:type="character" w:styleId="848" w:customStyle="1">
    <w:name w:val="sbc73225d"/>
    <w:basedOn w:val="652"/>
  </w:style>
  <w:style w:type="paragraph" w:styleId="849">
    <w:name w:val="Revision"/>
    <w:hidden/>
    <w:uiPriority w:val="99"/>
    <w:semiHidden/>
    <w:pPr>
      <w:spacing w:after="0" w:line="240" w:lineRule="auto"/>
    </w:pPr>
    <w:rPr>
      <w:rFonts w:eastAsiaTheme="minorEastAsia"/>
      <w:lang w:eastAsia="ru-RU"/>
    </w:rPr>
  </w:style>
  <w:style w:type="character" w:styleId="850">
    <w:name w:val="annotation reference"/>
    <w:basedOn w:val="652"/>
    <w:uiPriority w:val="99"/>
    <w:semiHidden/>
    <w:unhideWhenUsed/>
    <w:rPr>
      <w:sz w:val="16"/>
      <w:szCs w:val="16"/>
    </w:rPr>
  </w:style>
  <w:style w:type="paragraph" w:styleId="851">
    <w:name w:val="annotation text"/>
    <w:basedOn w:val="642"/>
    <w:link w:val="85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2" w:customStyle="1">
    <w:name w:val="Текст примітки Знак"/>
    <w:basedOn w:val="652"/>
    <w:link w:val="851"/>
    <w:uiPriority w:val="99"/>
    <w:semiHidden/>
    <w:rPr>
      <w:rFonts w:eastAsiaTheme="minorEastAsia"/>
      <w:sz w:val="20"/>
      <w:szCs w:val="20"/>
      <w:lang w:eastAsia="ru-RU"/>
    </w:rPr>
  </w:style>
  <w:style w:type="paragraph" w:styleId="853">
    <w:name w:val="annotation subject"/>
    <w:basedOn w:val="851"/>
    <w:next w:val="851"/>
    <w:link w:val="854"/>
    <w:uiPriority w:val="99"/>
    <w:semiHidden/>
    <w:unhideWhenUsed/>
    <w:rPr>
      <w:b/>
      <w:bCs/>
    </w:rPr>
  </w:style>
  <w:style w:type="character" w:styleId="854" w:customStyle="1">
    <w:name w:val="Тема примітки Знак"/>
    <w:basedOn w:val="852"/>
    <w:link w:val="853"/>
    <w:uiPriority w:val="99"/>
    <w:semiHidden/>
    <w:rPr>
      <w:rFonts w:eastAsiaTheme="minorEastAsia"/>
      <w:b/>
      <w:bCs/>
      <w:sz w:val="20"/>
      <w:szCs w:val="20"/>
      <w:lang w:eastAsia="ru-RU"/>
    </w:rPr>
  </w:style>
  <w:style w:type="character" w:styleId="855">
    <w:name w:val="Hyperlink"/>
    <w:basedOn w:val="65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090C-BD63-409F-9AD8-A4C19DE1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Lenovo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n.tarhoniy</dc:creator>
  <cp:lastModifiedBy>Борсук Ольга Миколаївна</cp:lastModifiedBy>
  <cp:revision>3</cp:revision>
  <dcterms:created xsi:type="dcterms:W3CDTF">2023-04-17T12:04:00Z</dcterms:created>
  <dcterms:modified xsi:type="dcterms:W3CDTF">2023-04-25T09:36:11Z</dcterms:modified>
</cp:coreProperties>
</file>