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«ПОБОКІН ПРОТИ УКРАЇНИ»</w:t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POBOKIN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v. UKRAINE)</w:t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30726/14)</w:t>
      </w:r>
      <w:r/>
    </w:p>
    <w:p>
      <w:pPr>
        <w:ind w:left="-567" w:right="-284" w:firstLine="567"/>
        <w:spacing w:after="0" w:line="240" w:lineRule="auto"/>
        <w:tabs>
          <w:tab w:val="left" w:pos="5722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sz w:val="24"/>
          <w:szCs w:val="24"/>
        </w:rPr>
        <w:t xml:space="preserve"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 квітня 2023 року</w:t>
      </w:r>
      <w:r/>
    </w:p>
    <w:p>
      <w:pPr>
        <w:ind w:right="-284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У жовтні 2008 року 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заявника, який був особою з інвалідністю у зв’язку з церебральним паралічем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страждав від помірних порушень мовленнєвої моторики,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 силою вивів з будівлі охоронець школи, де навчалась його сестра. Крім отриманих незначних тілесних ушкоджень, заявник, як ств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ерджувалося, зазнав сильних страждань і стан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здоров’я швидко погіршився.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Того ж дня заявник звернувся із заявою до міліції.</w:t>
      </w:r>
      <w:r>
        <w:rPr>
          <w:rFonts w:ascii="Times New Roman" w:hAnsi="Times New Roman" w:eastAsia="PMingLiU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Через декілька днів була проведена дослідча перевірка, яка кваліфікувала тілесні ушкодження заявника як легкі.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Лише у грудні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 року місцева прокуратура розпочала повноцінне розслідування. У березні 2009 року працівники міліції визнали заявника потерпілим у провадженні, а його матір – законним представником, хоча заявник був повністю дієздатним. 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Працівники міліції у 2009 році 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екілька разів зупиняли провадження, не повідомляючи заявника, оскільки «було неможливо встановити особу нападника», а судово-медичні експертизи 2009 та 2012 року повторювали висновки первинного акту 2008 року, незважаючи на численні скарги заявника на пост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упове погіршення стану його здоров’я.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2013 році Дарницький районний суд двічі постановляв ухвали, в яких критикував дії працівників міліції щодо проведення розслідування, за те, що вони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оцінили довгостроковий фізичний і психологічний вплив випадку насильства на здоров’я заявника, не допитали всіх свідків, у тому числі сестру заявника, та не усунули розбіжності між різними показаннями свідків, у тому числі шляхом проведення очних ставок.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Останніми слідчими діями у цій справі, досудове розслідування якої триває і досі, були допити заявника і його сестри у жовтні 2014 року.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2009 році заявник подав цивільний позов про відшкодування шкоди проти приватного агентства професійної безпеки, в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 працював охоронець школи. Остаточним рішенням Вищого спеціалізованого суду України з розгляду цивільних і кримінальних справ у 2014 році позов заявника було задоволено в частині присудження йому відшкодування моральної шкоди у розмірі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7 000 гривень.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конавча служба виконала рішення у 2019 році.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До Європейського суду з прав людини (далі – Європейський суд) заявник скаржився за статтями 6 і 13 Конвенції про захист прав людини і основоположних свобод (далі – Конвенція) у зв</w:t>
      </w:r>
      <w:r>
        <w:rPr>
          <w:rFonts w:ascii="Times New Roman" w:hAnsi="Times New Roman" w:eastAsia="PMingLiU" w:cs="Times New Roman"/>
          <w:sz w:val="24"/>
          <w:szCs w:val="24"/>
          <w:lang w:eastAsia="en-US"/>
        </w:rPr>
        <w:t xml:space="preserve">’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язку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непроведенням розслідува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 випадку насильства з боку приватного охоронця, що спричинило, як стверджувалося, прогресуюче погіршення його здоров</w:t>
      </w:r>
      <w:r>
        <w:rPr>
          <w:rFonts w:ascii="Times New Roman" w:hAnsi="Times New Roman" w:cs="Times New Roman"/>
          <w:sz w:val="24"/>
          <w:szCs w:val="24"/>
        </w:rPr>
        <w:t xml:space="preserve"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я. Європейський суд вирішив розглянути твердження заявника за процесуальним аспектом статті 3 Конвенції.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Розглядаючи скаргу заявника, Єв</w:t>
      </w: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  <w:t xml:space="preserve">ропейський суд послався на свою практику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загальних принципів ефективності розслідування небезпідставних тверджень про жорстоке поводження. 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суд назвав такі недоліки досудового розслідування у справі заявника: розгляд скарги заявника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гом перших двох місяців після події лише в межах так званих «дослідчих перевірок»; винесення декількох постанов про відмову у порушенні кримінальної справи; визнання заявника потерпілим у справі через п’ять місяців після події; неможливість забезпечити ефе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ктивну участь заявника у досудовому розслідуванні;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ретельності під час розслідування справи; відсутність офіційного розслідування щодо стверджуваного нападника; неналежне проведення судово-медичних обстежень.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той факт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кримінальн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провадження у справі заявника формально триває досі, але строк давності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fr-FR"/>
        </w:rPr>
        <w:t xml:space="preserve">для притягнення до кримінальної відповідальності сплив, а також враховуючи визнання національними органами влади недоліків розслідування та тривалість його проведення, Європейський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fr-FR"/>
        </w:rPr>
        <w:t xml:space="preserve">уд дійшов висновку, що було порушено процесуальний аспект статті 3 Конвенції.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</w:r>
      <w:r/>
    </w:p>
    <w:p>
      <w:pPr>
        <w:ind w:left="-567"/>
        <w:jc w:val="center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24"/>
        <w:ind w:left="-567" w:right="-142"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ЗА ЦИХ ПІДСТАВ СУД ОДНОГОЛОСНО</w:t>
      </w:r>
      <w:r/>
    </w:p>
    <w:p>
      <w:pPr>
        <w:pStyle w:val="824"/>
        <w:ind w:left="-567" w:right="-142"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</w:r>
      <w:r/>
    </w:p>
    <w:p>
      <w:pPr>
        <w:pStyle w:val="822"/>
        <w:ind w:left="-567" w:right="-284"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Оголошує</w:t>
      </w:r>
      <w:r>
        <w:rPr>
          <w:rFonts w:ascii="Times New Roman" w:hAnsi="Times New Roman" w:cs="Times New Roman"/>
          <w:lang w:val="uk-UA"/>
        </w:rPr>
        <w:t xml:space="preserve"> заяву прийнятною</w:t>
      </w:r>
      <w:r>
        <w:rPr>
          <w:rFonts w:ascii="Times New Roman" w:hAnsi="Times New Roman" w:cs="Times New Roman"/>
          <w:lang w:val="ru-RU"/>
        </w:rPr>
        <w:t xml:space="preserve">;</w:t>
      </w:r>
      <w:r/>
    </w:p>
    <w:p>
      <w:pPr>
        <w:pStyle w:val="822"/>
        <w:numPr>
          <w:ilvl w:val="0"/>
          <w:numId w:val="1"/>
        </w:numPr>
        <w:ind w:left="142" w:hanging="644"/>
        <w:tabs>
          <w:tab w:val="left" w:pos="0" w:leader="none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було порушено статтю 3 Конвенції</w:t>
      </w:r>
      <w:r>
        <w:rPr>
          <w:rFonts w:ascii="Times New Roman" w:hAnsi="Times New Roman" w:cs="Times New Roman"/>
          <w:lang w:val="ru-RU"/>
        </w:rPr>
        <w:t xml:space="preserve">;</w:t>
      </w:r>
      <w:r/>
    </w:p>
    <w:p>
      <w:pPr>
        <w:pStyle w:val="822"/>
        <w:numPr>
          <w:ilvl w:val="0"/>
          <w:numId w:val="1"/>
        </w:numPr>
        <w:ind w:left="142" w:hanging="644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що:</w:t>
      </w:r>
      <w:r/>
    </w:p>
    <w:p>
      <w:pPr>
        <w:pStyle w:val="82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упродовж трьох місяців держава-відповідач по</w:t>
      </w:r>
      <w:r>
        <w:rPr>
          <w:rFonts w:ascii="Times New Roman" w:hAnsi="Times New Roman" w:cs="Times New Roman"/>
          <w:lang w:val="uk-UA"/>
        </w:rPr>
        <w:t xml:space="preserve">винна сплатити заявнику 3 000 (три тисячі) євро в якості відшкодування моральної шкоди та додатково суму будь-якого податку, що може нараховуватися; ця сума має бути конвертована в національну валюту держави-відповідача за курсом на день здійснення платежу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823"/>
        <w:numPr>
          <w:ilvl w:val="1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із закінченням зазначеного тримісячного строку до остаточного розрахунку на зазначену суму нараховуватиметься простий відсоток </w:t>
      </w:r>
      <w:r>
        <w:rPr>
          <w:rFonts w:ascii="Times New Roman" w:hAnsi="Times New Roman" w:cs="Times New Roman"/>
          <w:i/>
          <w:lang w:val="uk-UA"/>
        </w:rPr>
        <w:t xml:space="preserve">(simple interest)</w:t>
      </w:r>
      <w:r>
        <w:rPr>
          <w:rFonts w:ascii="Times New Roman" w:hAnsi="Times New Roman" w:cs="Times New Roman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</w:t>
      </w:r>
      <w:r>
        <w:rPr>
          <w:rFonts w:ascii="Times New Roman" w:hAnsi="Times New Roman" w:cs="Times New Roman"/>
          <w:lang w:val="uk-UA"/>
        </w:rPr>
        <w:t xml:space="preserve">ї має бути додано три відсоткові пункти;</w:t>
      </w:r>
      <w:r/>
    </w:p>
    <w:p>
      <w:pPr>
        <w:pStyle w:val="823"/>
        <w:numPr>
          <w:ilvl w:val="0"/>
          <w:numId w:val="1"/>
        </w:numPr>
        <w:ind w:left="-426" w:right="-284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Відхиляє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решту вимог заявника щодо справедливої сатисфакції</w:t>
      </w:r>
      <w:r>
        <w:rPr>
          <w:rFonts w:ascii="Times New Roman" w:hAnsi="Times New Roman" w:cs="Times New Roman"/>
          <w:lang w:val="uk-UA"/>
        </w:rPr>
        <w:t xml:space="preserve">».</w:t>
      </w:r>
      <w:r/>
    </w:p>
    <w:p>
      <w:pPr>
        <w:pStyle w:val="822"/>
        <w:ind w:left="-567" w:right="-284" w:firstLine="0"/>
        <w:tabs>
          <w:tab w:val="left" w:pos="0" w:leader="none"/>
          <w:tab w:val="left" w:pos="851" w:leader="none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sectPr>
      <w:footnotePr/>
      <w:endnotePr/>
      <w:type w:val="nextPage"/>
      <w:pgSz w:w="11906" w:h="16838" w:orient="portrait"/>
      <w:pgMar w:top="426" w:right="850" w:bottom="993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603020101020101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33"/>
    <w:lvl w:ilvl="0">
      <w:start w:val="1"/>
      <w:numFmt w:val="decimal"/>
      <w:pStyle w:val="833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lowerLetter"/>
      <w:isLgl w:val="false"/>
      <w:suff w:val="tab"/>
      <w:lvlText w:val="(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(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styleLink w:val="832"/>
    <w:lvl w:ilvl="0">
      <w:start w:val="1"/>
      <w:numFmt w:val="decimal"/>
      <w:pStyle w:val="832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0"/>
    <w:link w:val="664"/>
    <w:uiPriority w:val="10"/>
    <w:rPr>
      <w:sz w:val="48"/>
      <w:szCs w:val="48"/>
    </w:rPr>
  </w:style>
  <w:style w:type="character" w:styleId="36">
    <w:name w:val="Subtitle Char"/>
    <w:basedOn w:val="650"/>
    <w:link w:val="666"/>
    <w:uiPriority w:val="11"/>
    <w:rPr>
      <w:sz w:val="24"/>
      <w:szCs w:val="24"/>
    </w:rPr>
  </w:style>
  <w:style w:type="character" w:styleId="38">
    <w:name w:val="Quote Char"/>
    <w:link w:val="668"/>
    <w:uiPriority w:val="29"/>
    <w:rPr>
      <w:i/>
    </w:rPr>
  </w:style>
  <w:style w:type="character" w:styleId="40">
    <w:name w:val="Intense Quote Char"/>
    <w:link w:val="670"/>
    <w:uiPriority w:val="30"/>
    <w:rPr>
      <w:i/>
    </w:rPr>
  </w:style>
  <w:style w:type="character" w:styleId="42">
    <w:name w:val="Header Char"/>
    <w:basedOn w:val="650"/>
    <w:link w:val="672"/>
    <w:uiPriority w:val="99"/>
  </w:style>
  <w:style w:type="character" w:styleId="46">
    <w:name w:val="Caption Char"/>
    <w:basedOn w:val="676"/>
    <w:link w:val="674"/>
    <w:uiPriority w:val="99"/>
  </w:style>
  <w:style w:type="character" w:styleId="175">
    <w:name w:val="Footnote Text Char"/>
    <w:link w:val="805"/>
    <w:uiPriority w:val="99"/>
    <w:rPr>
      <w:sz w:val="18"/>
    </w:rPr>
  </w:style>
  <w:style w:type="character" w:styleId="178">
    <w:name w:val="Endnote Text Char"/>
    <w:link w:val="808"/>
    <w:uiPriority w:val="99"/>
    <w:rPr>
      <w:sz w:val="20"/>
    </w:rPr>
  </w:style>
  <w:style w:type="paragraph" w:styleId="640" w:default="1">
    <w:name w:val="Normal"/>
    <w:qFormat/>
    <w:rPr>
      <w:rFonts w:eastAsiaTheme="minorEastAsia"/>
      <w:lang w:eastAsia="ru-RU"/>
    </w:rPr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Заголовок 9 Знак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after="0" w:line="240" w:lineRule="auto"/>
    </w:pPr>
  </w:style>
  <w:style w:type="paragraph" w:styleId="664">
    <w:name w:val="Title"/>
    <w:basedOn w:val="640"/>
    <w:next w:val="640"/>
    <w:link w:val="665"/>
    <w:uiPriority w:val="10"/>
    <w:qFormat/>
    <w:pPr>
      <w:contextualSpacing/>
      <w:spacing w:before="300"/>
    </w:pPr>
    <w:rPr>
      <w:sz w:val="48"/>
      <w:szCs w:val="48"/>
    </w:rPr>
  </w:style>
  <w:style w:type="character" w:styleId="665" w:customStyle="1">
    <w:name w:val="Назва Знак"/>
    <w:basedOn w:val="650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uiPriority w:val="11"/>
    <w:qFormat/>
    <w:pPr>
      <w:spacing w:before="200"/>
    </w:pPr>
    <w:rPr>
      <w:sz w:val="24"/>
      <w:szCs w:val="24"/>
    </w:rPr>
  </w:style>
  <w:style w:type="character" w:styleId="667" w:customStyle="1">
    <w:name w:val="Підзаголовок Знак"/>
    <w:basedOn w:val="650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Цитата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Насичена цитата Знак"/>
    <w:link w:val="670"/>
    <w:uiPriority w:val="30"/>
    <w:rPr>
      <w:i/>
    </w:rPr>
  </w:style>
  <w:style w:type="paragraph" w:styleId="672">
    <w:name w:val="Header"/>
    <w:basedOn w:val="640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Верхній колонтитул Знак"/>
    <w:basedOn w:val="650"/>
    <w:link w:val="672"/>
    <w:uiPriority w:val="99"/>
  </w:style>
  <w:style w:type="paragraph" w:styleId="674">
    <w:name w:val="Footer"/>
    <w:basedOn w:val="640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50"/>
    <w:uiPriority w:val="99"/>
  </w:style>
  <w:style w:type="paragraph" w:styleId="676">
    <w:name w:val="Caption"/>
    <w:basedOn w:val="640"/>
    <w:next w:val="64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7" w:customStyle="1">
    <w:name w:val="Нижній колонтитул Знак"/>
    <w:link w:val="674"/>
    <w:uiPriority w:val="99"/>
  </w:style>
  <w:style w:type="table" w:styleId="678">
    <w:name w:val="Table Grid"/>
    <w:basedOn w:val="65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customStyle="1">
    <w:name w:val="Table Grid Light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0">
    <w:name w:val="Plain Table 1"/>
    <w:basedOn w:val="65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5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 w:customStyle="1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8" w:customStyle="1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9" w:customStyle="1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0" w:customStyle="1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1" w:customStyle="1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2" w:customStyle="1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3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0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0" w:customStyle="1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1" w:customStyle="1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3" w:customStyle="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5" w:customStyle="1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6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ned - Accent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Lined - Accent 1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Lined - Accent 2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Lined - Accent 3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Lined - Accent 4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Lined - Accent 5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Lined - Accent 6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 &amp; Lined - Accent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Bordered &amp; Lined - Accent 1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2" w:customStyle="1">
    <w:name w:val="Bordered &amp; Lined - Accent 2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3" w:customStyle="1">
    <w:name w:val="Bordered &amp; Lined - Accent 3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4" w:customStyle="1">
    <w:name w:val="Bordered &amp; Lined - Accent 4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5" w:customStyle="1">
    <w:name w:val="Bordered &amp; Lined - Accent 5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6" w:customStyle="1">
    <w:name w:val="Bordered &amp; Lined - Accent 6"/>
    <w:basedOn w:val="65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7" w:customStyle="1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8" w:customStyle="1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9" w:customStyle="1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0" w:customStyle="1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1" w:customStyle="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2" w:customStyle="1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3" w:customStyle="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 w:customStyle="1">
    <w:name w:val="Текст виноски Знак"/>
    <w:link w:val="805"/>
    <w:uiPriority w:val="99"/>
    <w:rPr>
      <w:sz w:val="18"/>
    </w:rPr>
  </w:style>
  <w:style w:type="character" w:styleId="807">
    <w:name w:val="footnote reference"/>
    <w:basedOn w:val="650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 w:customStyle="1">
    <w:name w:val="Текст кінцевої виноски Знак"/>
    <w:link w:val="808"/>
    <w:uiPriority w:val="99"/>
    <w:rPr>
      <w:sz w:val="20"/>
    </w:rPr>
  </w:style>
  <w:style w:type="character" w:styleId="810">
    <w:name w:val="endnote reference"/>
    <w:basedOn w:val="650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  <w:pPr>
      <w:spacing w:after="0"/>
    </w:pPr>
  </w:style>
  <w:style w:type="paragraph" w:styleId="822" w:customStyle="1">
    <w:name w:val="Ju_List"/>
    <w:basedOn w:val="640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23" w:customStyle="1">
    <w:name w:val="Ju_List_a"/>
    <w:basedOn w:val="822"/>
    <w:uiPriority w:val="23"/>
    <w:qFormat/>
    <w:pPr>
      <w:ind w:left="346" w:firstLine="0"/>
    </w:pPr>
  </w:style>
  <w:style w:type="paragraph" w:styleId="824" w:customStyle="1">
    <w:name w:val="ECHR_Para"/>
    <w:basedOn w:val="640"/>
    <w:link w:val="825"/>
    <w:uiPriority w:val="4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5" w:customStyle="1">
    <w:name w:val="ECHR_Para Char"/>
    <w:basedOn w:val="650"/>
    <w:link w:val="824"/>
    <w:uiPriority w:val="4"/>
    <w:qFormat/>
    <w:rPr>
      <w:rFonts w:eastAsiaTheme="minorEastAsia"/>
      <w:sz w:val="24"/>
      <w:lang w:val="en-US"/>
    </w:rPr>
  </w:style>
  <w:style w:type="paragraph" w:styleId="826" w:customStyle="1">
    <w:name w:val="Ju_List_i"/>
    <w:basedOn w:val="640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character" w:styleId="827" w:customStyle="1">
    <w:name w:val="sb8d990e2"/>
    <w:basedOn w:val="650"/>
  </w:style>
  <w:style w:type="character" w:styleId="828" w:customStyle="1">
    <w:name w:val="s6b621b36"/>
    <w:basedOn w:val="650"/>
  </w:style>
  <w:style w:type="paragraph" w:styleId="829">
    <w:name w:val="Balloon Text"/>
    <w:basedOn w:val="640"/>
    <w:link w:val="8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0" w:customStyle="1">
    <w:name w:val="Текст у виносці Знак"/>
    <w:basedOn w:val="650"/>
    <w:link w:val="829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831" w:customStyle="1">
    <w:name w:val="Ju_Para Car"/>
    <w:rPr>
      <w:rFonts w:ascii="Times New Roman" w:hAnsi="Times New Roman" w:cs="Times New Roman" w:eastAsiaTheme="minorEastAsia"/>
      <w:sz w:val="24"/>
      <w:lang w:val="en-US"/>
    </w:rPr>
  </w:style>
  <w:style w:type="numbering" w:styleId="832" w:customStyle="1">
    <w:name w:val="ECHR_A1_Style_List"/>
    <w:basedOn w:val="652"/>
    <w:uiPriority w:val="99"/>
    <w:pPr>
      <w:numPr>
        <w:numId w:val="2"/>
      </w:numPr>
    </w:pPr>
  </w:style>
  <w:style w:type="numbering" w:styleId="833">
    <w:name w:val="Outline List 1"/>
    <w:basedOn w:val="652"/>
    <w:uiPriority w:val="99"/>
    <w:semiHidden/>
    <w:unhideWhenUsed/>
    <w:pPr>
      <w:numPr>
        <w:numId w:val="3"/>
      </w:numPr>
    </w:pPr>
  </w:style>
  <w:style w:type="character" w:styleId="834" w:customStyle="1">
    <w:name w:val="s68f5eaef"/>
    <w:basedOn w:val="650"/>
  </w:style>
  <w:style w:type="character" w:styleId="835" w:customStyle="1">
    <w:name w:val="sba5e0277"/>
    <w:basedOn w:val="650"/>
  </w:style>
  <w:style w:type="character" w:styleId="836" w:customStyle="1">
    <w:name w:val="s512f4ebd"/>
    <w:basedOn w:val="650"/>
  </w:style>
  <w:style w:type="character" w:styleId="837">
    <w:name w:val="annotation reference"/>
    <w:basedOn w:val="650"/>
    <w:uiPriority w:val="99"/>
    <w:semiHidden/>
    <w:unhideWhenUsed/>
    <w:rPr>
      <w:sz w:val="16"/>
      <w:szCs w:val="16"/>
    </w:rPr>
  </w:style>
  <w:style w:type="paragraph" w:styleId="838">
    <w:name w:val="annotation text"/>
    <w:basedOn w:val="640"/>
    <w:link w:val="83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9" w:customStyle="1">
    <w:name w:val="Текст примітки Знак"/>
    <w:basedOn w:val="650"/>
    <w:link w:val="838"/>
    <w:uiPriority w:val="99"/>
    <w:semiHidden/>
    <w:rPr>
      <w:rFonts w:eastAsiaTheme="minorEastAsia"/>
      <w:sz w:val="20"/>
      <w:szCs w:val="20"/>
      <w:lang w:eastAsia="ru-RU"/>
    </w:rPr>
  </w:style>
  <w:style w:type="paragraph" w:styleId="840">
    <w:name w:val="annotation subject"/>
    <w:basedOn w:val="838"/>
    <w:next w:val="838"/>
    <w:link w:val="841"/>
    <w:uiPriority w:val="99"/>
    <w:semiHidden/>
    <w:unhideWhenUsed/>
    <w:rPr>
      <w:b/>
      <w:bCs/>
    </w:rPr>
  </w:style>
  <w:style w:type="character" w:styleId="841" w:customStyle="1">
    <w:name w:val="Тема примітки Знак"/>
    <w:basedOn w:val="839"/>
    <w:link w:val="840"/>
    <w:uiPriority w:val="99"/>
    <w:semiHidden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Lenovo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n.tarhoniy</dc:creator>
  <cp:lastModifiedBy>Борсук Ольга Миколаївна</cp:lastModifiedBy>
  <cp:revision>3</cp:revision>
  <dcterms:created xsi:type="dcterms:W3CDTF">2023-04-17T08:28:00Z</dcterms:created>
  <dcterms:modified xsi:type="dcterms:W3CDTF">2023-04-25T09:13:15Z</dcterms:modified>
</cp:coreProperties>
</file>