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ЄВРОПЕЙСЬКИЙ СУД З ПРАВ ЛЮДИНИ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СПРАВА «БУДАЄВА ПРОТИ УКРАЇНИ»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(CASE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BUDAYEVA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v. UKRAINE)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(заява № 75485/12)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Стислий виклад рішення від 09 березня 2023 року</w:t>
      </w:r>
      <w:r/>
    </w:p>
    <w:p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sz w:val="10"/>
          <w:szCs w:val="10"/>
          <w:lang w:val="uk-UA"/>
        </w:rPr>
      </w:r>
      <w:r/>
    </w:p>
    <w:p>
      <w:pPr>
        <w:ind w:left="284" w:right="140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04 червня 1993 року прокуратура Київського району м. Одеси порушила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кримінальну справу за фактом смерті сина заявниці, який загинув 29 травня 1993 року у результаті дорожньо-транспортної пригоди під час зіткнення з міліцейським службовим автомобілем, яким керував Г. Декілька разів Г. обирався запобіжний захід у вигляді під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писки про невиїзд, який згодом скасовувався.</w:t>
      </w:r>
      <w:r/>
    </w:p>
    <w:p>
      <w:pPr>
        <w:ind w:left="284" w:right="140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У липні 1994 слідчий закрив кримінальне провадження щодо Г. у зв’язку з відсутністю в його діях складу злочину</w:t>
      </w:r>
      <w:r>
        <w:rPr>
          <w:rFonts w:ascii="Times New Roman" w:hAnsi="Times New Roman" w:eastAsia="Times New Roman" w:cs="Times New Roman"/>
          <w:i/>
          <w:sz w:val="24"/>
          <w:szCs w:val="24"/>
          <w:lang w:val="uk-UA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Ця постанова була скасована. У квітні 1996 року розслідування було закінчено, а кримінальну справу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направлено до суду для розгляду по суті. У зв’язку з численними неявками Г. у судові засідання його було оголошено у розшук, а у вересні 2009 року затримано.</w:t>
      </w:r>
      <w:r/>
    </w:p>
    <w:p>
      <w:pPr>
        <w:ind w:left="284" w:right="140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У квітні 2010 року Київський районний суд м. Одеси ухвалив обвинувальний вирок щодо Г., який було 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скасовано Апеляційним судом Одеської області (далі – апеляційний суд) як необґрунтований, а справу направлено на додаткове розслідування. Після закінчення додаткового розслідування Приморський районний суд м. Одеси ухвалив обвинувальний вирок щодо Г., який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також було скасовано апеляційним судом, а справу направлено до суду першої інстанції на новий розгляд.</w:t>
      </w:r>
      <w:r/>
    </w:p>
    <w:p>
      <w:pPr>
        <w:ind w:left="284" w:right="140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Суд першої інстанції направив справу прокурора на додаткове розслідування, а згодом повернув обвинувальний акт прокурору для усунення процесуальних недо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ліків. Станом на лютий 2017 року додаткове розслідування усе ще тривало.</w:t>
      </w:r>
      <w:r/>
    </w:p>
    <w:p>
      <w:pPr>
        <w:ind w:left="284" w:right="140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До Європейського суду з прав людини (далі – Європейський суд) заявниця скаржилася за статтями 2 і 13 Конвенції про захист прав людини і основоположних свобод (далі – Конвенція), що ро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зслідування та подальший судовий розгляд обставин смерті її сина не були ефективними, а також за пунктом 1 статті 6 Конвенції, що її цивільний позов про відшкодування шкоди залишався без розгляду протягом тривалого часу. Європейський суд, якому належить пр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овідна роль щодо здійснення юридичної кваліфікації фактів справи, вирішив, що зазначені скарги мають розглядатися лише за статтею 2 Конвенції.</w:t>
      </w:r>
      <w:r/>
    </w:p>
    <w:p>
      <w:pPr>
        <w:ind w:left="284" w:right="140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Насамперед Європейський суд зазначив, що первинне розслідування події, яка призвела до смерті сина заявниці, було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розпочато 04 червня 1993 року та закінчено до 11 вересня 1997 року, тому цей період не підпадає під сферу дії юрисдикції Європейського суду </w:t>
      </w:r>
      <w:r>
        <w:rPr>
          <w:rFonts w:ascii="Times New Roman" w:hAnsi="Times New Roman" w:eastAsia="Times New Roman" w:cs="Times New Roman"/>
          <w:i/>
          <w:sz w:val="24"/>
          <w:szCs w:val="24"/>
          <w:lang w:val="uk-UA"/>
        </w:rPr>
        <w:t xml:space="preserve">ratione temporis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, у зв’язку з чим цю частину заяви слід визнати неприйнятною відповідно до підпункту «а» пункту 3 і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 пункту 4 статті 35 Конвенції.</w:t>
      </w:r>
      <w:r/>
    </w:p>
    <w:p>
      <w:pPr>
        <w:ind w:left="284" w:right="140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Щодо періоду після 11 вересня 1997 року Європейський суд наголосив, що не кожне розслідування обов’язково має бути успішним або дійти висновку, який співпадає з викладом подій скаржника, проте воно, у принципі, має бути здатн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им призвести до встановлення фактів справи, а якщо твердження виявляться правдивими – до встановлення та покарання винних осіб.</w:t>
      </w:r>
      <w:r/>
    </w:p>
    <w:p>
      <w:pPr>
        <w:ind w:left="284" w:right="140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Європейський суд звернув увагу на низку суттєвих недоліків щодо розслідування, зокрема, щ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о розшук Г. тривав близько тринадцяти років, а також, що кримінальну справу декілька разів повертали на додаткове розслідування внаслідок невжиття слідчими достатніх заходів. Європейський суд дійшов висновку, що недостатня ретельність та оперативність піді</w:t>
      </w:r>
      <w:r>
        <w:rPr>
          <w:rFonts w:ascii="Times New Roman" w:hAnsi="Times New Roman" w:eastAsia="Times New Roman" w:cs="Times New Roman"/>
          <w:sz w:val="24"/>
          <w:szCs w:val="24"/>
          <w:lang w:val="uk-UA"/>
        </w:rPr>
        <w:t xml:space="preserve">рвали здатність органів державної влади встановити обставини справи та констатував порушення процесуального аспекту статті 2 Конвенції.</w:t>
      </w:r>
      <w:r/>
    </w:p>
    <w:p>
      <w:pPr>
        <w:pStyle w:val="819"/>
        <w:ind w:left="284" w:right="140"/>
        <w:spacing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pStyle w:val="819"/>
        <w:ind w:left="284" w:right="140"/>
        <w:spacing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ЦИХ ПІДСТАВ СУД ОДНОГОЛОСНО</w:t>
      </w:r>
      <w:r/>
    </w:p>
    <w:p>
      <w:pPr>
        <w:pStyle w:val="818"/>
        <w:ind w:left="284" w:right="140" w:firstLine="0"/>
        <w:rPr>
          <w:rFonts w:ascii="Times New Roman" w:hAnsi="Times New Roman" w:eastAsia="MS Mincho" w:cs="Times New Roman"/>
          <w:i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«1.</w:t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eastAsia="MS Mincho" w:cs="Times New Roman"/>
          <w:i/>
          <w:szCs w:val="24"/>
          <w:lang w:val="uk-UA"/>
        </w:rPr>
        <w:t xml:space="preserve">Оголошує 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прийнятною скаргу за процесуальним аспектом статті 2 Конвенції щодо періоду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 проведення провадження на національному рівні після 11 вересня 1997 року, а решту скарг у заяві – неприйнятними.</w:t>
      </w:r>
      <w:r/>
    </w:p>
    <w:p>
      <w:pPr>
        <w:pStyle w:val="818"/>
        <w:ind w:left="284" w:right="140" w:firstLine="0"/>
        <w:rPr>
          <w:rFonts w:ascii="Times New Roman" w:hAnsi="Times New Roman" w:eastAsia="MS Mincho" w:cs="Times New Roman"/>
          <w:i/>
          <w:szCs w:val="24"/>
          <w:lang w:val="uk-UA"/>
        </w:rPr>
      </w:pPr>
      <w:r>
        <w:rPr>
          <w:rFonts w:ascii="Times New Roman" w:hAnsi="Times New Roman" w:eastAsia="MS Mincho" w:cs="Times New Roman"/>
          <w:szCs w:val="24"/>
          <w:lang w:val="uk-UA"/>
        </w:rPr>
        <w:t xml:space="preserve">2.</w:t>
      </w:r>
      <w:r>
        <w:rPr>
          <w:rFonts w:ascii="Times New Roman" w:hAnsi="Times New Roman" w:eastAsia="MS Mincho" w:cs="Times New Roman"/>
          <w:i/>
          <w:szCs w:val="24"/>
          <w:lang w:val="uk-UA"/>
        </w:rPr>
        <w:tab/>
        <w:t xml:space="preserve">Постановляє, 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що було порушено процесуальний аспект статті 2 Конвенції.</w:t>
      </w:r>
      <w:r/>
    </w:p>
    <w:p>
      <w:pPr>
        <w:pStyle w:val="818"/>
        <w:ind w:left="284" w:right="140" w:firstLine="0"/>
        <w:rPr>
          <w:rFonts w:ascii="Times New Roman" w:hAnsi="Times New Roman" w:eastAsia="MS Mincho" w:cs="Times New Roman"/>
          <w:i/>
          <w:szCs w:val="24"/>
          <w:lang w:val="uk-UA"/>
        </w:rPr>
      </w:pPr>
      <w:r>
        <w:rPr>
          <w:rFonts w:ascii="Times New Roman" w:hAnsi="Times New Roman" w:eastAsia="MS Mincho" w:cs="Times New Roman"/>
          <w:szCs w:val="24"/>
          <w:lang w:val="uk-UA"/>
        </w:rPr>
        <w:t xml:space="preserve">3.</w:t>
      </w:r>
      <w:r>
        <w:rPr>
          <w:rFonts w:ascii="Times New Roman" w:hAnsi="Times New Roman" w:eastAsia="MS Mincho" w:cs="Times New Roman"/>
          <w:i/>
          <w:szCs w:val="24"/>
          <w:lang w:val="uk-UA"/>
        </w:rPr>
        <w:tab/>
        <w:t xml:space="preserve">Постановляє, 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що:</w:t>
      </w:r>
      <w:r/>
    </w:p>
    <w:p>
      <w:pPr>
        <w:pStyle w:val="818"/>
        <w:ind w:left="284" w:right="140" w:firstLine="0"/>
        <w:rPr>
          <w:rFonts w:ascii="Times New Roman" w:hAnsi="Times New Roman" w:eastAsia="MS Mincho" w:cs="Times New Roman"/>
          <w:szCs w:val="24"/>
          <w:lang w:val="uk-UA"/>
        </w:rPr>
      </w:pPr>
      <w:r>
        <w:rPr>
          <w:rFonts w:ascii="Times New Roman" w:hAnsi="Times New Roman" w:eastAsia="MS Mincho" w:cs="Times New Roman"/>
          <w:szCs w:val="24"/>
          <w:lang w:val="uk-UA"/>
        </w:rPr>
        <w:t xml:space="preserve">(a)</w:t>
      </w:r>
      <w:r>
        <w:rPr>
          <w:rFonts w:ascii="Times New Roman" w:hAnsi="Times New Roman" w:eastAsia="MS Mincho" w:cs="Times New Roman"/>
          <w:szCs w:val="24"/>
          <w:lang w:val="uk-UA"/>
        </w:rPr>
        <w:tab/>
        <w:t xml:space="preserve">упродовж трьох місяців держава-відповідач по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винна сплатити заявниці 6 000 (шість тисяч) євро та додатково суму будь-якого податку, що може нараховуватися, в якості відшкодування моральної шкоди; ця сума має бути конвертована в національну валюту держави-відповідача за курсом на день здійснення плате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жу;</w:t>
      </w:r>
      <w:r/>
    </w:p>
    <w:p>
      <w:pPr>
        <w:pStyle w:val="818"/>
        <w:ind w:left="284" w:right="140" w:firstLine="0"/>
        <w:rPr>
          <w:rFonts w:ascii="Times New Roman" w:hAnsi="Times New Roman" w:eastAsia="MS Mincho" w:cs="Times New Roman"/>
          <w:szCs w:val="24"/>
          <w:lang w:val="uk-UA"/>
        </w:rPr>
      </w:pPr>
      <w:r>
        <w:rPr>
          <w:rFonts w:ascii="Times New Roman" w:hAnsi="Times New Roman" w:eastAsia="MS Mincho" w:cs="Times New Roman"/>
          <w:szCs w:val="24"/>
          <w:lang w:val="uk-UA"/>
        </w:rPr>
        <w:t xml:space="preserve">(b)</w:t>
      </w:r>
      <w:r>
        <w:rPr>
          <w:rFonts w:ascii="Times New Roman" w:hAnsi="Times New Roman" w:eastAsia="MS Mincho" w:cs="Times New Roman"/>
          <w:szCs w:val="24"/>
          <w:lang w:val="uk-UA"/>
        </w:rPr>
        <w:tab/>
        <w:t xml:space="preserve">із закінченням зазначеного тримісячного строку до остаточного розрахунку на зазначену суму нараховуватиметься простий відсоток </w:t>
      </w:r>
      <w:r>
        <w:rPr>
          <w:rFonts w:ascii="Times New Roman" w:hAnsi="Times New Roman" w:eastAsia="MS Mincho" w:cs="Times New Roman"/>
          <w:i/>
          <w:szCs w:val="24"/>
          <w:lang w:val="uk-UA"/>
        </w:rPr>
        <w:t xml:space="preserve">(simple interest)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 у розмірі граничної позичкової ставки 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Європейського центрального банку, яка діятиме в період несплати, до якої має бути додано три відсоткові пункти;</w:t>
      </w:r>
      <w:r/>
    </w:p>
    <w:p>
      <w:pPr>
        <w:pStyle w:val="818"/>
        <w:ind w:left="284" w:right="140" w:firstLine="0"/>
        <w:rPr>
          <w:rFonts w:ascii="Times New Roman" w:hAnsi="Times New Roman" w:eastAsia="MS Mincho" w:cs="Times New Roman"/>
          <w:szCs w:val="24"/>
          <w:lang w:val="uk-UA"/>
        </w:rPr>
      </w:pPr>
      <w:r>
        <w:rPr>
          <w:rFonts w:ascii="Times New Roman" w:hAnsi="Times New Roman" w:eastAsia="MS Mincho" w:cs="Times New Roman"/>
          <w:szCs w:val="24"/>
          <w:lang w:val="uk-UA"/>
        </w:rPr>
        <w:t xml:space="preserve">4.</w:t>
      </w:r>
      <w:r>
        <w:rPr>
          <w:rFonts w:ascii="Times New Roman" w:hAnsi="Times New Roman" w:eastAsia="MS Mincho" w:cs="Times New Roman"/>
          <w:i/>
          <w:szCs w:val="24"/>
          <w:lang w:val="uk-UA"/>
        </w:rPr>
        <w:tab/>
        <w:t xml:space="preserve">Відхиляє </w:t>
      </w:r>
      <w:r>
        <w:rPr>
          <w:rFonts w:ascii="Times New Roman" w:hAnsi="Times New Roman" w:eastAsia="MS Mincho" w:cs="Times New Roman"/>
          <w:szCs w:val="24"/>
          <w:lang w:val="uk-UA"/>
        </w:rPr>
        <w:t xml:space="preserve">решту вимог заявниці щодо справедливої сатисфакції.</w:t>
      </w:r>
      <w:r>
        <w:rPr>
          <w:rFonts w:ascii="Times New Roman" w:hAnsi="Times New Roman" w:cs="Times New Roman"/>
          <w:szCs w:val="24"/>
          <w:lang w:val="uk-UA"/>
        </w:rPr>
        <w:t xml:space="preserve">»</w:t>
      </w:r>
      <w:r/>
    </w:p>
    <w:sectPr>
      <w:footnotePr/>
      <w:endnotePr/>
      <w:type w:val="nextPage"/>
      <w:pgSz w:w="11906" w:h="16838" w:orient="portrait"/>
      <w:pgMar w:top="425" w:right="567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S Mincho">
    <w:panose1 w:val="0202060305040509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828"/>
    <w:lvl w:ilvl="0">
      <w:start w:val="1"/>
      <w:numFmt w:val="decimal"/>
      <w:pStyle w:val="828"/>
      <w:isLgl w:val="false"/>
      <w:suff w:val="tab"/>
      <w:lvlText w:val="%1."/>
      <w:lvlJc w:val="left"/>
      <w:pPr>
        <w:ind w:left="340" w:hanging="340"/>
        <w:tabs>
          <w:tab w:val="num" w:pos="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(%2)"/>
      <w:lvlJc w:val="left"/>
      <w:pPr>
        <w:ind w:left="680" w:hanging="340"/>
        <w:tabs>
          <w:tab w:val="num" w:pos="680" w:leader="none"/>
        </w:tabs>
      </w:pPr>
      <w:rPr>
        <w:rFonts w:hint="default"/>
      </w:rPr>
    </w:lvl>
    <w:lvl w:ilvl="2">
      <w:start w:val="1"/>
      <w:numFmt w:val="lowerRoman"/>
      <w:isLgl w:val="false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6"/>
    <w:link w:val="63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6"/>
    <w:link w:val="63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6"/>
    <w:link w:val="660"/>
    <w:uiPriority w:val="10"/>
    <w:rPr>
      <w:sz w:val="48"/>
      <w:szCs w:val="48"/>
    </w:rPr>
  </w:style>
  <w:style w:type="character" w:styleId="36">
    <w:name w:val="Subtitle Char"/>
    <w:basedOn w:val="646"/>
    <w:link w:val="662"/>
    <w:uiPriority w:val="11"/>
    <w:rPr>
      <w:sz w:val="24"/>
      <w:szCs w:val="24"/>
    </w:rPr>
  </w:style>
  <w:style w:type="character" w:styleId="38">
    <w:name w:val="Quote Char"/>
    <w:link w:val="664"/>
    <w:uiPriority w:val="29"/>
    <w:rPr>
      <w:i/>
    </w:rPr>
  </w:style>
  <w:style w:type="character" w:styleId="40">
    <w:name w:val="Intense Quote Char"/>
    <w:link w:val="666"/>
    <w:uiPriority w:val="30"/>
    <w:rPr>
      <w:i/>
    </w:rPr>
  </w:style>
  <w:style w:type="character" w:styleId="42">
    <w:name w:val="Header Char"/>
    <w:basedOn w:val="646"/>
    <w:link w:val="668"/>
    <w:uiPriority w:val="99"/>
  </w:style>
  <w:style w:type="character" w:styleId="46">
    <w:name w:val="Caption Char"/>
    <w:basedOn w:val="672"/>
    <w:link w:val="670"/>
    <w:uiPriority w:val="99"/>
  </w:style>
  <w:style w:type="character" w:styleId="175">
    <w:name w:val="Footnote Text Char"/>
    <w:link w:val="801"/>
    <w:uiPriority w:val="99"/>
    <w:rPr>
      <w:sz w:val="18"/>
    </w:rPr>
  </w:style>
  <w:style w:type="character" w:styleId="178">
    <w:name w:val="Endnote Text Char"/>
    <w:link w:val="804"/>
    <w:uiPriority w:val="99"/>
    <w:rPr>
      <w:sz w:val="20"/>
    </w:rPr>
  </w:style>
  <w:style w:type="paragraph" w:styleId="636" w:default="1">
    <w:name w:val="Normal"/>
    <w:qFormat/>
    <w:rPr>
      <w:rFonts w:eastAsiaTheme="minorEastAsia"/>
      <w:lang w:val="ru-RU" w:eastAsia="ru-RU"/>
    </w:rPr>
  </w:style>
  <w:style w:type="paragraph" w:styleId="637">
    <w:name w:val="Heading 1"/>
    <w:basedOn w:val="636"/>
    <w:next w:val="636"/>
    <w:link w:val="649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8">
    <w:name w:val="Heading 2"/>
    <w:basedOn w:val="636"/>
    <w:next w:val="636"/>
    <w:link w:val="65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9">
    <w:name w:val="Heading 3"/>
    <w:basedOn w:val="636"/>
    <w:next w:val="636"/>
    <w:link w:val="651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40">
    <w:name w:val="Heading 4"/>
    <w:basedOn w:val="636"/>
    <w:next w:val="636"/>
    <w:link w:val="65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1">
    <w:name w:val="Heading 5"/>
    <w:basedOn w:val="636"/>
    <w:next w:val="636"/>
    <w:link w:val="65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2">
    <w:name w:val="Heading 6"/>
    <w:basedOn w:val="636"/>
    <w:next w:val="636"/>
    <w:link w:val="65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3">
    <w:name w:val="Heading 7"/>
    <w:basedOn w:val="636"/>
    <w:next w:val="636"/>
    <w:link w:val="65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4">
    <w:name w:val="Heading 8"/>
    <w:basedOn w:val="636"/>
    <w:next w:val="636"/>
    <w:link w:val="65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5">
    <w:name w:val="Heading 9"/>
    <w:basedOn w:val="636"/>
    <w:next w:val="636"/>
    <w:link w:val="65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1 Знак"/>
    <w:basedOn w:val="646"/>
    <w:link w:val="637"/>
    <w:uiPriority w:val="9"/>
    <w:rPr>
      <w:rFonts w:ascii="Arial" w:hAnsi="Arial" w:eastAsia="Arial" w:cs="Arial"/>
      <w:sz w:val="40"/>
      <w:szCs w:val="40"/>
    </w:rPr>
  </w:style>
  <w:style w:type="character" w:styleId="650" w:customStyle="1">
    <w:name w:val="Заголовок 2 Знак"/>
    <w:basedOn w:val="646"/>
    <w:link w:val="638"/>
    <w:uiPriority w:val="9"/>
    <w:rPr>
      <w:rFonts w:ascii="Arial" w:hAnsi="Arial" w:eastAsia="Arial" w:cs="Arial"/>
      <w:sz w:val="34"/>
    </w:rPr>
  </w:style>
  <w:style w:type="character" w:styleId="651" w:customStyle="1">
    <w:name w:val="Заголовок 3 Знак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652" w:customStyle="1">
    <w:name w:val="Заголовок 4 Знак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653" w:customStyle="1">
    <w:name w:val="Заголовок 5 Знак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654" w:customStyle="1">
    <w:name w:val="Заголовок 6 Знак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655" w:customStyle="1">
    <w:name w:val="Заголовок 7 Знак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6" w:customStyle="1">
    <w:name w:val="Заголовок 8 Знак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7" w:customStyle="1">
    <w:name w:val="Заголовок 9 Знак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636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after="0" w:line="240" w:lineRule="auto"/>
    </w:pPr>
  </w:style>
  <w:style w:type="paragraph" w:styleId="660">
    <w:name w:val="Title"/>
    <w:basedOn w:val="636"/>
    <w:next w:val="636"/>
    <w:link w:val="661"/>
    <w:uiPriority w:val="10"/>
    <w:qFormat/>
    <w:pPr>
      <w:contextualSpacing/>
      <w:spacing w:before="300"/>
    </w:pPr>
    <w:rPr>
      <w:sz w:val="48"/>
      <w:szCs w:val="48"/>
    </w:rPr>
  </w:style>
  <w:style w:type="character" w:styleId="661" w:customStyle="1">
    <w:name w:val="Назва Знак"/>
    <w:basedOn w:val="646"/>
    <w:link w:val="660"/>
    <w:uiPriority w:val="10"/>
    <w:rPr>
      <w:sz w:val="48"/>
      <w:szCs w:val="48"/>
    </w:rPr>
  </w:style>
  <w:style w:type="paragraph" w:styleId="662">
    <w:name w:val="Subtitle"/>
    <w:basedOn w:val="636"/>
    <w:next w:val="636"/>
    <w:link w:val="663"/>
    <w:uiPriority w:val="11"/>
    <w:qFormat/>
    <w:pPr>
      <w:spacing w:before="200"/>
    </w:pPr>
    <w:rPr>
      <w:sz w:val="24"/>
      <w:szCs w:val="24"/>
    </w:rPr>
  </w:style>
  <w:style w:type="character" w:styleId="663" w:customStyle="1">
    <w:name w:val="Підзаголовок Знак"/>
    <w:basedOn w:val="646"/>
    <w:link w:val="662"/>
    <w:uiPriority w:val="11"/>
    <w:rPr>
      <w:sz w:val="24"/>
      <w:szCs w:val="24"/>
    </w:rPr>
  </w:style>
  <w:style w:type="paragraph" w:styleId="664">
    <w:name w:val="Quote"/>
    <w:basedOn w:val="636"/>
    <w:next w:val="636"/>
    <w:link w:val="665"/>
    <w:uiPriority w:val="29"/>
    <w:qFormat/>
    <w:pPr>
      <w:ind w:left="720" w:right="720"/>
    </w:pPr>
    <w:rPr>
      <w:i/>
    </w:rPr>
  </w:style>
  <w:style w:type="character" w:styleId="665" w:customStyle="1">
    <w:name w:val="Цитата Знак"/>
    <w:link w:val="664"/>
    <w:uiPriority w:val="29"/>
    <w:rPr>
      <w:i/>
    </w:rPr>
  </w:style>
  <w:style w:type="paragraph" w:styleId="666">
    <w:name w:val="Intense Quote"/>
    <w:basedOn w:val="636"/>
    <w:next w:val="636"/>
    <w:link w:val="66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 w:customStyle="1">
    <w:name w:val="Насичена цитата Знак"/>
    <w:link w:val="666"/>
    <w:uiPriority w:val="30"/>
    <w:rPr>
      <w:i/>
    </w:rPr>
  </w:style>
  <w:style w:type="paragraph" w:styleId="668">
    <w:name w:val="Header"/>
    <w:basedOn w:val="636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Верхній колонтитул Знак"/>
    <w:basedOn w:val="646"/>
    <w:link w:val="668"/>
    <w:uiPriority w:val="99"/>
  </w:style>
  <w:style w:type="paragraph" w:styleId="670">
    <w:name w:val="Footer"/>
    <w:basedOn w:val="636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 w:customStyle="1">
    <w:name w:val="Footer Char"/>
    <w:basedOn w:val="646"/>
    <w:uiPriority w:val="99"/>
  </w:style>
  <w:style w:type="paragraph" w:styleId="672">
    <w:name w:val="Caption"/>
    <w:basedOn w:val="636"/>
    <w:next w:val="63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3" w:customStyle="1">
    <w:name w:val="Нижній колонтитул Знак"/>
    <w:link w:val="670"/>
    <w:uiPriority w:val="99"/>
  </w:style>
  <w:style w:type="table" w:styleId="674">
    <w:name w:val="Table Grid"/>
    <w:basedOn w:val="64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5" w:customStyle="1">
    <w:name w:val="Table Grid Light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6">
    <w:name w:val="Plain Table 1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64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 w:customStyle="1">
    <w:name w:val="Grid Table 4 - Accent 1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4" w:customStyle="1">
    <w:name w:val="Grid Table 4 - Accent 2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5" w:customStyle="1">
    <w:name w:val="Grid Table 4 - Accent 3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6" w:customStyle="1">
    <w:name w:val="Grid Table 4 - Accent 4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7" w:customStyle="1">
    <w:name w:val="Grid Table 4 - Accent 5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8" w:customStyle="1">
    <w:name w:val="Grid Table 4 - Accent 6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9">
    <w:name w:val="Grid Table 5 Dark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6">
    <w:name w:val="Grid Table 6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8" w:customStyle="1">
    <w:name w:val="Grid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9" w:customStyle="1">
    <w:name w:val="Grid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0" w:customStyle="1">
    <w:name w:val="Grid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1" w:customStyle="1">
    <w:name w:val="Grid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2" w:customStyle="1">
    <w:name w:val="Grid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3">
    <w:name w:val="Grid Table 7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>
    <w:name w:val="List Table 1 Light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1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2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3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4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5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6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>
    <w:name w:val="List Table 6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6" w:customStyle="1">
    <w:name w:val="List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7" w:customStyle="1">
    <w:name w:val="List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8" w:customStyle="1">
    <w:name w:val="List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9" w:customStyle="1">
    <w:name w:val="List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0" w:customStyle="1">
    <w:name w:val="List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1" w:customStyle="1">
    <w:name w:val="List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2">
    <w:name w:val="List Table 7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ned - Accent"/>
    <w:basedOn w:val="6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0" w:customStyle="1">
    <w:name w:val="Lined - Accent 1"/>
    <w:basedOn w:val="6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1" w:customStyle="1">
    <w:name w:val="Lined - Accent 2"/>
    <w:basedOn w:val="6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2" w:customStyle="1">
    <w:name w:val="Lined - Accent 3"/>
    <w:basedOn w:val="6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3" w:customStyle="1">
    <w:name w:val="Lined - Accent 4"/>
    <w:basedOn w:val="6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4" w:customStyle="1">
    <w:name w:val="Lined - Accent 5"/>
    <w:basedOn w:val="6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5" w:customStyle="1">
    <w:name w:val="Lined - Accent 6"/>
    <w:basedOn w:val="6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6" w:customStyle="1">
    <w:name w:val="Bordered &amp; Lined - Accent"/>
    <w:basedOn w:val="6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7" w:customStyle="1">
    <w:name w:val="Bordered &amp; Lined - Accent 1"/>
    <w:basedOn w:val="6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8" w:customStyle="1">
    <w:name w:val="Bordered &amp; Lined - Accent 2"/>
    <w:basedOn w:val="6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9" w:customStyle="1">
    <w:name w:val="Bordered &amp; Lined - Accent 3"/>
    <w:basedOn w:val="6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0" w:customStyle="1">
    <w:name w:val="Bordered &amp; Lined - Accent 4"/>
    <w:basedOn w:val="6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1" w:customStyle="1">
    <w:name w:val="Bordered &amp; Lined - Accent 5"/>
    <w:basedOn w:val="6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2" w:customStyle="1">
    <w:name w:val="Bordered &amp; Lined - Accent 6"/>
    <w:basedOn w:val="647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3" w:customStyle="1">
    <w:name w:val="Bordered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4" w:customStyle="1">
    <w:name w:val="Bordered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5" w:customStyle="1">
    <w:name w:val="Bordered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6" w:customStyle="1">
    <w:name w:val="Bordered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7" w:customStyle="1">
    <w:name w:val="Bordered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8" w:customStyle="1">
    <w:name w:val="Bordered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9" w:customStyle="1">
    <w:name w:val="Bordered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636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 w:customStyle="1">
    <w:name w:val="Текст виноски Знак"/>
    <w:link w:val="801"/>
    <w:uiPriority w:val="99"/>
    <w:rPr>
      <w:sz w:val="18"/>
    </w:rPr>
  </w:style>
  <w:style w:type="character" w:styleId="803">
    <w:name w:val="footnote reference"/>
    <w:basedOn w:val="646"/>
    <w:uiPriority w:val="99"/>
    <w:unhideWhenUsed/>
    <w:rPr>
      <w:vertAlign w:val="superscript"/>
    </w:rPr>
  </w:style>
  <w:style w:type="paragraph" w:styleId="804">
    <w:name w:val="endnote text"/>
    <w:basedOn w:val="636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 w:customStyle="1">
    <w:name w:val="Текст кінцевої виноски Знак"/>
    <w:link w:val="804"/>
    <w:uiPriority w:val="99"/>
    <w:rPr>
      <w:sz w:val="20"/>
    </w:rPr>
  </w:style>
  <w:style w:type="character" w:styleId="806">
    <w:name w:val="endnote reference"/>
    <w:basedOn w:val="646"/>
    <w:uiPriority w:val="99"/>
    <w:semiHidden/>
    <w:unhideWhenUsed/>
    <w:rPr>
      <w:vertAlign w:val="superscript"/>
    </w:rPr>
  </w:style>
  <w:style w:type="paragraph" w:styleId="807">
    <w:name w:val="toc 1"/>
    <w:basedOn w:val="636"/>
    <w:next w:val="636"/>
    <w:uiPriority w:val="39"/>
    <w:unhideWhenUsed/>
    <w:pPr>
      <w:spacing w:after="57"/>
    </w:pPr>
  </w:style>
  <w:style w:type="paragraph" w:styleId="808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9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10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11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12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13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14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15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636"/>
    <w:next w:val="636"/>
    <w:uiPriority w:val="99"/>
    <w:unhideWhenUsed/>
    <w:pPr>
      <w:spacing w:after="0"/>
    </w:pPr>
  </w:style>
  <w:style w:type="paragraph" w:styleId="818" w:customStyle="1">
    <w:name w:val="Ju_List"/>
    <w:basedOn w:val="636"/>
    <w:uiPriority w:val="23"/>
    <w:qFormat/>
    <w:pPr>
      <w:ind w:left="340" w:hanging="340"/>
      <w:jc w:val="both"/>
      <w:spacing w:after="0" w:line="240" w:lineRule="auto"/>
    </w:pPr>
    <w:rPr>
      <w:sz w:val="24"/>
      <w:lang w:val="en-US" w:eastAsia="en-US"/>
    </w:rPr>
  </w:style>
  <w:style w:type="paragraph" w:styleId="819" w:customStyle="1">
    <w:name w:val="ECHR_Title_1"/>
    <w:basedOn w:val="636"/>
    <w:next w:val="636"/>
    <w:uiPriority w:val="18"/>
    <w:qFormat/>
    <w:pPr>
      <w:jc w:val="both"/>
      <w:keepLines/>
      <w:keepNext/>
      <w:spacing w:before="720" w:after="240" w:line="240" w:lineRule="auto"/>
      <w:outlineLvl w:val="0"/>
    </w:pPr>
    <w:rPr>
      <w:rFonts w:ascii="Times New Roman" w:hAnsi="Times New Roman" w:eastAsia="MS Mincho" w:cs="Times New Roman"/>
      <w:sz w:val="28"/>
      <w:lang w:val="en-US" w:eastAsia="en-US"/>
    </w:rPr>
  </w:style>
  <w:style w:type="paragraph" w:styleId="820" w:customStyle="1">
    <w:name w:val="Ju_List_a"/>
    <w:basedOn w:val="818"/>
    <w:uiPriority w:val="23"/>
    <w:qFormat/>
    <w:pPr>
      <w:ind w:left="346" w:firstLine="0"/>
    </w:pPr>
  </w:style>
  <w:style w:type="paragraph" w:styleId="821" w:customStyle="1">
    <w:name w:val="ECHR_Para"/>
    <w:basedOn w:val="636"/>
    <w:link w:val="822"/>
    <w:uiPriority w:val="12"/>
    <w:qFormat/>
    <w:pPr>
      <w:ind w:firstLine="284"/>
      <w:jc w:val="both"/>
      <w:spacing w:after="0" w:line="240" w:lineRule="auto"/>
    </w:pPr>
    <w:rPr>
      <w:sz w:val="24"/>
      <w:lang w:val="en-US" w:eastAsia="en-US"/>
    </w:rPr>
  </w:style>
  <w:style w:type="character" w:styleId="822" w:customStyle="1">
    <w:name w:val="ECHR_Para Char"/>
    <w:basedOn w:val="646"/>
    <w:link w:val="821"/>
    <w:uiPriority w:val="12"/>
    <w:rPr>
      <w:rFonts w:eastAsiaTheme="minorEastAsia"/>
      <w:sz w:val="24"/>
      <w:lang w:val="en-US"/>
    </w:rPr>
  </w:style>
  <w:style w:type="paragraph" w:styleId="823" w:customStyle="1">
    <w:name w:val="Ju_Signed"/>
    <w:basedOn w:val="636"/>
    <w:next w:val="824"/>
    <w:uiPriority w:val="32"/>
    <w:qFormat/>
    <w:pPr>
      <w:spacing w:before="720" w:after="0" w:line="240" w:lineRule="auto"/>
      <w:tabs>
        <w:tab w:val="center" w:pos="851" w:leader="none"/>
        <w:tab w:val="center" w:pos="6407" w:leader="none"/>
      </w:tabs>
    </w:pPr>
    <w:rPr>
      <w:sz w:val="24"/>
      <w:lang w:val="en-US" w:eastAsia="en-US"/>
    </w:rPr>
  </w:style>
  <w:style w:type="paragraph" w:styleId="824" w:customStyle="1">
    <w:name w:val="Ju_Para_Last"/>
    <w:basedOn w:val="636"/>
    <w:next w:val="821"/>
    <w:uiPriority w:val="30"/>
    <w:qFormat/>
    <w:pPr>
      <w:ind w:firstLine="284"/>
      <w:jc w:val="both"/>
      <w:keepLines/>
      <w:keepNext/>
      <w:spacing w:before="240" w:after="0" w:line="240" w:lineRule="auto"/>
    </w:pPr>
    <w:rPr>
      <w:sz w:val="24"/>
      <w:lang w:val="en-US" w:eastAsia="en-US"/>
    </w:rPr>
  </w:style>
  <w:style w:type="paragraph" w:styleId="825">
    <w:name w:val="Balloon Text"/>
    <w:basedOn w:val="636"/>
    <w:link w:val="826"/>
    <w:uiPriority w:val="99"/>
    <w:semiHidden/>
    <w:pPr>
      <w:jc w:val="both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styleId="826" w:customStyle="1">
    <w:name w:val="Текст у виносці Знак"/>
    <w:basedOn w:val="646"/>
    <w:link w:val="825"/>
    <w:uiPriority w:val="99"/>
    <w:semiHidden/>
    <w:rPr>
      <w:rFonts w:ascii="Tahoma" w:hAnsi="Tahoma" w:cs="Tahoma" w:eastAsiaTheme="minorEastAsia"/>
      <w:sz w:val="16"/>
      <w:szCs w:val="16"/>
      <w:lang w:val="en-US"/>
    </w:rPr>
  </w:style>
  <w:style w:type="paragraph" w:styleId="827" w:customStyle="1">
    <w:name w:val="Ju_List_i"/>
    <w:basedOn w:val="636"/>
    <w:uiPriority w:val="23"/>
    <w:pPr>
      <w:jc w:val="both"/>
      <w:spacing w:after="0" w:line="240" w:lineRule="auto"/>
      <w:tabs>
        <w:tab w:val="num" w:pos="360" w:leader="none"/>
      </w:tabs>
    </w:pPr>
    <w:rPr>
      <w:sz w:val="24"/>
      <w:lang w:val="en-GB" w:eastAsia="en-US"/>
    </w:rPr>
  </w:style>
  <w:style w:type="numbering" w:styleId="828" w:customStyle="1">
    <w:name w:val="ECHR_A1_Style_List"/>
    <w:basedOn w:val="648"/>
    <w:uiPriority w:val="99"/>
    <w:pPr>
      <w:numPr>
        <w:numId w:val="1"/>
      </w:numPr>
    </w:pPr>
  </w:style>
  <w:style w:type="character" w:styleId="829">
    <w:name w:val="annotation reference"/>
    <w:basedOn w:val="646"/>
    <w:uiPriority w:val="99"/>
    <w:semiHidden/>
    <w:unhideWhenUsed/>
    <w:rPr>
      <w:sz w:val="16"/>
      <w:szCs w:val="16"/>
    </w:rPr>
  </w:style>
  <w:style w:type="paragraph" w:styleId="830">
    <w:name w:val="annotation text"/>
    <w:basedOn w:val="636"/>
    <w:link w:val="83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31" w:customStyle="1">
    <w:name w:val="Текст примітки Знак"/>
    <w:basedOn w:val="646"/>
    <w:link w:val="830"/>
    <w:uiPriority w:val="99"/>
    <w:semiHidden/>
    <w:rPr>
      <w:rFonts w:eastAsiaTheme="minorEastAsia"/>
      <w:sz w:val="20"/>
      <w:szCs w:val="20"/>
      <w:lang w:val="ru-RU" w:eastAsia="ru-RU"/>
    </w:rPr>
  </w:style>
  <w:style w:type="paragraph" w:styleId="832">
    <w:name w:val="annotation subject"/>
    <w:basedOn w:val="830"/>
    <w:next w:val="830"/>
    <w:link w:val="833"/>
    <w:uiPriority w:val="99"/>
    <w:semiHidden/>
    <w:unhideWhenUsed/>
    <w:rPr>
      <w:b/>
      <w:bCs/>
    </w:rPr>
  </w:style>
  <w:style w:type="character" w:styleId="833" w:customStyle="1">
    <w:name w:val="Тема примітки Знак"/>
    <w:basedOn w:val="831"/>
    <w:link w:val="832"/>
    <w:uiPriority w:val="99"/>
    <w:semiHidden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C5779-620E-40C9-B902-3DB09DEE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Ящукевич (RMJ-HP247V2 - t.yaschyukevych)</dc:creator>
  <cp:lastModifiedBy>Борсук Ольга Миколаївна</cp:lastModifiedBy>
  <cp:revision>3</cp:revision>
  <dcterms:created xsi:type="dcterms:W3CDTF">2023-04-17T07:40:00Z</dcterms:created>
  <dcterms:modified xsi:type="dcterms:W3CDTF">2023-04-18T11:55:10Z</dcterms:modified>
</cp:coreProperties>
</file>