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EC97" w14:textId="77777777" w:rsidR="008055E1" w:rsidRDefault="00000000">
      <w:pPr>
        <w:spacing w:after="0" w:line="240" w:lineRule="auto"/>
        <w:ind w:left="-142" w:right="-148"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ЄВРОПЕЙСЬКИЙ СУД З ПРАВ ЛЮДИНИ</w:t>
      </w:r>
    </w:p>
    <w:p w14:paraId="16E94BC1" w14:textId="77777777" w:rsidR="008055E1" w:rsidRDefault="00000000">
      <w:pPr>
        <w:spacing w:after="0"/>
        <w:ind w:left="-142" w:right="-148"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СПРАВА «ТРАЧУК ПРОТИ УКРАЇНИ»</w:t>
      </w:r>
    </w:p>
    <w:p w14:paraId="0F0BD800" w14:textId="77777777" w:rsidR="008055E1" w:rsidRDefault="00000000">
      <w:pPr>
        <w:spacing w:after="0"/>
        <w:ind w:left="-142" w:right="-148"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(CASE OF </w:t>
      </w:r>
      <w:r>
        <w:rPr>
          <w:rFonts w:ascii="Times New Roman" w:hAnsi="Times New Roman" w:cs="Times New Roman"/>
          <w:b/>
          <w:sz w:val="24"/>
          <w:szCs w:val="24"/>
          <w:lang w:val="en-US"/>
        </w:rPr>
        <w:t>TRACHUK</w:t>
      </w:r>
      <w:r>
        <w:rPr>
          <w:rFonts w:ascii="Times New Roman" w:hAnsi="Times New Roman" w:cs="Times New Roman"/>
          <w:b/>
          <w:sz w:val="24"/>
          <w:szCs w:val="24"/>
          <w:lang w:val="uk-UA"/>
        </w:rPr>
        <w:t xml:space="preserve"> v. UKRAINE)</w:t>
      </w:r>
    </w:p>
    <w:p w14:paraId="546A23E8" w14:textId="77777777" w:rsidR="008055E1" w:rsidRDefault="00000000">
      <w:pPr>
        <w:spacing w:after="0" w:line="240" w:lineRule="auto"/>
        <w:ind w:left="-142" w:right="-148"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(заява № </w:t>
      </w:r>
      <w:r>
        <w:rPr>
          <w:rFonts w:ascii="Times New Roman" w:hAnsi="Times New Roman" w:cs="Times New Roman"/>
          <w:sz w:val="24"/>
          <w:szCs w:val="24"/>
        </w:rPr>
        <w:t>24413</w:t>
      </w:r>
      <w:r>
        <w:rPr>
          <w:rFonts w:ascii="Times New Roman" w:hAnsi="Times New Roman" w:cs="Times New Roman"/>
          <w:sz w:val="24"/>
          <w:szCs w:val="24"/>
          <w:lang w:val="uk-UA"/>
        </w:rPr>
        <w:t>/13)</w:t>
      </w:r>
    </w:p>
    <w:p w14:paraId="06F0660F" w14:textId="77777777" w:rsidR="008055E1" w:rsidRDefault="008055E1">
      <w:pPr>
        <w:spacing w:after="0" w:line="240" w:lineRule="auto"/>
        <w:ind w:left="-142" w:right="-148" w:firstLine="426"/>
        <w:rPr>
          <w:rFonts w:ascii="Times New Roman" w:eastAsia="Times New Roman" w:hAnsi="Times New Roman" w:cs="Times New Roman"/>
          <w:sz w:val="10"/>
          <w:szCs w:val="10"/>
          <w:lang w:val="uk-UA"/>
        </w:rPr>
      </w:pPr>
    </w:p>
    <w:p w14:paraId="4F87FAB5" w14:textId="77777777" w:rsidR="008055E1" w:rsidRDefault="00000000">
      <w:pPr>
        <w:spacing w:after="120" w:line="240" w:lineRule="auto"/>
        <w:ind w:left="-142" w:right="-148"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Стислий виклад рішення від 02</w:t>
      </w:r>
      <w:r>
        <w:rPr>
          <w:rFonts w:ascii="Times New Roman" w:hAnsi="Times New Roman" w:cs="Times New Roman"/>
          <w:b/>
          <w:sz w:val="24"/>
          <w:szCs w:val="24"/>
        </w:rPr>
        <w:t xml:space="preserve"> </w:t>
      </w:r>
      <w:r>
        <w:rPr>
          <w:rFonts w:ascii="Times New Roman" w:hAnsi="Times New Roman" w:cs="Times New Roman"/>
          <w:b/>
          <w:sz w:val="24"/>
          <w:szCs w:val="24"/>
          <w:lang w:val="uk-UA"/>
        </w:rPr>
        <w:t>березня 2023 року</w:t>
      </w:r>
    </w:p>
    <w:p w14:paraId="2EA9C081" w14:textId="77777777" w:rsidR="008055E1" w:rsidRDefault="008055E1">
      <w:pPr>
        <w:pStyle w:val="ECHRPara"/>
        <w:ind w:left="-142" w:right="-148" w:firstLine="426"/>
        <w:rPr>
          <w:rFonts w:ascii="Times New Roman" w:eastAsia="Times New Roman" w:hAnsi="Times New Roman" w:cs="Times New Roman"/>
          <w:sz w:val="10"/>
          <w:szCs w:val="10"/>
          <w:lang w:val="uk-UA"/>
        </w:rPr>
      </w:pPr>
    </w:p>
    <w:p w14:paraId="414AEB08" w14:textId="77777777" w:rsidR="008055E1" w:rsidRDefault="00000000">
      <w:pPr>
        <w:pStyle w:val="ECHRPara"/>
        <w:ind w:left="-142" w:right="-148" w:firstLine="426"/>
        <w:rPr>
          <w:rFonts w:ascii="Times New Roman" w:hAnsi="Times New Roman" w:cs="Times New Roman"/>
          <w:lang w:val="uk-UA"/>
        </w:rPr>
      </w:pPr>
      <w:r>
        <w:rPr>
          <w:rFonts w:ascii="Times New Roman" w:hAnsi="Times New Roman" w:cs="Times New Roman"/>
          <w:lang w:val="uk-UA"/>
        </w:rPr>
        <w:t>29 жовтня 2010 року заявницю було затримано та взято під варту за підозрою у вчиненні замаху на вбивство. Того ж дня її було допитано працівниками міліції, після чого доставлено до лікарні, де їй діагностували забої м’яких тканин обличчя, які згідно з її твердженнями вона отримала у результаті падіння на вулиці. Після того як заявницю доставили до Краматорського ізолятора тимчасового тримання (далі – ІТТ) вона змінила свій виклад подій і пояснила медпрацівникам ІТТ, що її побили під час затримання. Працівники ІТТ передали це пояснення до Краматорського відділу міліції для перевірки, а згодом цю справу було передано до прокуратури Донецької області (далі - прокуратура).</w:t>
      </w:r>
    </w:p>
    <w:p w14:paraId="72276766" w14:textId="77777777" w:rsidR="008055E1" w:rsidRDefault="00000000">
      <w:pPr>
        <w:pStyle w:val="ECHRPara"/>
        <w:ind w:left="-142" w:right="-148" w:firstLine="426"/>
        <w:rPr>
          <w:rFonts w:ascii="Times New Roman" w:hAnsi="Times New Roman" w:cs="Times New Roman"/>
          <w:lang w:val="uk-UA"/>
        </w:rPr>
      </w:pPr>
      <w:r>
        <w:rPr>
          <w:rFonts w:ascii="Times New Roman" w:hAnsi="Times New Roman" w:cs="Times New Roman"/>
          <w:lang w:val="uk-UA"/>
        </w:rPr>
        <w:t xml:space="preserve">Прокуратура двічі відмовляла в порушенні кримінальної справи у зв’язку з тілесними ушкодженнями заявниці, оскільки з тверджень працівників міліції та понятих вбачалося, що під час затримання не застосовувалася фізична сила чи психологічний тиск. </w:t>
      </w:r>
    </w:p>
    <w:p w14:paraId="6CB6978F" w14:textId="77777777" w:rsidR="008055E1" w:rsidRDefault="00000000">
      <w:pPr>
        <w:pStyle w:val="ECHRPara"/>
        <w:ind w:left="-142" w:right="-148" w:firstLine="426"/>
        <w:rPr>
          <w:rFonts w:ascii="Times New Roman" w:hAnsi="Times New Roman" w:cs="Times New Roman"/>
          <w:lang w:val="uk-UA"/>
        </w:rPr>
      </w:pPr>
      <w:r>
        <w:rPr>
          <w:rFonts w:ascii="Times New Roman" w:hAnsi="Times New Roman" w:cs="Times New Roman"/>
          <w:lang w:val="uk-UA"/>
        </w:rPr>
        <w:t>Заявниця неодноразово оскаржувала постанови прокуратури про відмову у порушенні кримінальної справи, однак, їй було відмовлено у задоволенні цих скарг.</w:t>
      </w:r>
    </w:p>
    <w:p w14:paraId="33E12B2E" w14:textId="77777777" w:rsidR="008055E1" w:rsidRDefault="00000000">
      <w:pPr>
        <w:pStyle w:val="ECHRPara"/>
        <w:ind w:left="-142" w:right="-148" w:firstLine="426"/>
        <w:rPr>
          <w:rFonts w:ascii="Times New Roman" w:hAnsi="Times New Roman" w:cs="Times New Roman"/>
          <w:color w:val="auto"/>
          <w:lang w:val="uk-UA"/>
        </w:rPr>
      </w:pPr>
      <w:r>
        <w:rPr>
          <w:rFonts w:ascii="Times New Roman" w:hAnsi="Times New Roman" w:cs="Times New Roman"/>
          <w:lang w:val="uk-UA"/>
        </w:rPr>
        <w:t>09 листопада 2012 року</w:t>
      </w:r>
      <w:r>
        <w:rPr>
          <w:lang w:val="ru-RU"/>
        </w:rPr>
        <w:t xml:space="preserve"> </w:t>
      </w:r>
      <w:r>
        <w:rPr>
          <w:rFonts w:ascii="Times New Roman" w:hAnsi="Times New Roman" w:cs="Times New Roman"/>
          <w:lang w:val="uk-UA"/>
        </w:rPr>
        <w:t>суд визнав заявницю винною у вчиненні замаху на вбивство і обрав їй покарання у виді позбавлення волі на строк десять років, посилаючись на велику кількість доказів, зокрема, на показання заявниці від 29 жовтня 2010 року</w:t>
      </w:r>
      <w:r>
        <w:rPr>
          <w:rFonts w:ascii="Times New Roman" w:hAnsi="Times New Roman" w:cs="Times New Roman"/>
          <w:color w:val="auto"/>
          <w:lang w:val="uk-UA"/>
        </w:rPr>
        <w:t>. Апеляційну та касаційну скарги заявниці було залишено без задоволення.</w:t>
      </w:r>
    </w:p>
    <w:p w14:paraId="604262A5" w14:textId="77777777" w:rsidR="008055E1" w:rsidRDefault="00000000">
      <w:pPr>
        <w:pStyle w:val="ECHRPara"/>
        <w:ind w:left="-142" w:right="-148" w:firstLine="426"/>
        <w:rPr>
          <w:rFonts w:ascii="Times New Roman" w:hAnsi="Times New Roman" w:cs="Times New Roman"/>
          <w:lang w:val="uk-UA"/>
        </w:rPr>
      </w:pPr>
      <w:r>
        <w:rPr>
          <w:rFonts w:ascii="Times New Roman" w:hAnsi="Times New Roman" w:cs="Times New Roman"/>
          <w:lang w:val="uk-UA"/>
        </w:rPr>
        <w:t>До Європейського суду з прав людини (далі – Європейський суд) заявниця скаржився за статтею 3 Конвенції про захист прав людини і основоположних свобод (далі – Конвенція), що 29 жовтня 2010 року працівники міліції піддали її жорстокому поводженню під час її затримання та під час її перебування під вартою, а її відповідні твердження не були належним чином розслідувані, а також за пунктом 1 статті 6 Конвенції, що її показання, надані 29 жовтня 2010 року невдовзі після фізичного та психологічного жорстокого поводження працівників міліції, були використані для обґрунтування її засудження.</w:t>
      </w:r>
    </w:p>
    <w:p w14:paraId="6DCF3319" w14:textId="77777777" w:rsidR="008055E1" w:rsidRDefault="00000000">
      <w:pPr>
        <w:pStyle w:val="ECHRPara"/>
        <w:ind w:left="-142" w:right="-148" w:firstLine="426"/>
        <w:rPr>
          <w:rFonts w:ascii="Times New Roman" w:hAnsi="Times New Roman" w:cs="Times New Roman"/>
          <w:lang w:val="ru-RU"/>
        </w:rPr>
      </w:pPr>
      <w:r>
        <w:rPr>
          <w:rFonts w:ascii="Times New Roman" w:hAnsi="Times New Roman"/>
          <w:lang w:val="uk-UA"/>
        </w:rPr>
        <w:t xml:space="preserve">Розглянувши скарги заявниці Європейський суд </w:t>
      </w:r>
      <w:r>
        <w:rPr>
          <w:rFonts w:ascii="Times New Roman" w:hAnsi="Times New Roman" w:cs="Times New Roman"/>
          <w:lang w:val="uk-UA"/>
        </w:rPr>
        <w:t>зазначив, що органами державної влади не було докладено жодних зусиль для перевірки достовірності тверджень заявниці</w:t>
      </w:r>
      <w:r>
        <w:rPr>
          <w:lang w:val="uk-UA"/>
        </w:rPr>
        <w:t xml:space="preserve"> </w:t>
      </w:r>
      <w:r>
        <w:rPr>
          <w:rFonts w:ascii="Times New Roman" w:hAnsi="Times New Roman" w:cs="Times New Roman"/>
          <w:lang w:val="uk-UA"/>
        </w:rPr>
        <w:t>про жорстоке поводження з нею працівниками міліції. Зокрема, первинній перевірці бракувало ретельності, оскільки твердження про жорстоке поводження працівників міліції були відхилені, по суті, з огляду на показання працівників міліції та понятих під час проведення затримання, без будь-яких спроб узгодити їх між собою та з показаннями заявниці, а також не звертаючись за отриманням висновку судово-медичного експерта щодо характеру та часу заподіяння тілесних ушкоджень або можливого способу їхнього нанесення. Під час подальшої перевірки, яка також довго тривала, жодних дій для усунення цих недоліків проведено не було.</w:t>
      </w:r>
      <w:r>
        <w:rPr>
          <w:rFonts w:ascii="Times New Roman" w:hAnsi="Times New Roman" w:cs="Times New Roman"/>
          <w:lang w:val="ru-RU"/>
        </w:rPr>
        <w:t xml:space="preserve"> </w:t>
      </w:r>
      <w:r>
        <w:rPr>
          <w:rFonts w:ascii="Times New Roman" w:hAnsi="Times New Roman" w:cs="Times New Roman"/>
          <w:lang w:val="uk-UA"/>
        </w:rPr>
        <w:t>З огляду на це Європейський суд дійшов висновку, що заявниця була піддана нелюдському та такому, що принижує гідність поводженню і констатував порушення матеріального і процесуального аспектів статті 3 Конвенції.</w:t>
      </w:r>
    </w:p>
    <w:p w14:paraId="40E83A25" w14:textId="77777777" w:rsidR="008055E1" w:rsidRDefault="00000000">
      <w:pPr>
        <w:pStyle w:val="ECHRPara"/>
        <w:ind w:left="-142" w:right="-148" w:firstLine="426"/>
        <w:rPr>
          <w:rFonts w:ascii="Times New Roman" w:hAnsi="Times New Roman" w:cs="Times New Roman"/>
          <w:lang w:val="ru-RU"/>
        </w:rPr>
      </w:pP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скарги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заявниці</w:t>
      </w:r>
      <w:proofErr w:type="spellEnd"/>
      <w:r>
        <w:rPr>
          <w:rFonts w:ascii="Times New Roman" w:hAnsi="Times New Roman" w:cs="Times New Roman"/>
          <w:lang w:val="ru-RU"/>
        </w:rPr>
        <w:t xml:space="preserve"> за пунктом 1 </w:t>
      </w:r>
      <w:proofErr w:type="spellStart"/>
      <w:r>
        <w:rPr>
          <w:rFonts w:ascii="Times New Roman" w:hAnsi="Times New Roman" w:cs="Times New Roman"/>
          <w:lang w:val="ru-RU"/>
        </w:rPr>
        <w:t>статті</w:t>
      </w:r>
      <w:proofErr w:type="spellEnd"/>
      <w:r>
        <w:rPr>
          <w:rFonts w:ascii="Times New Roman" w:hAnsi="Times New Roman" w:cs="Times New Roman"/>
          <w:lang w:val="ru-RU"/>
        </w:rPr>
        <w:t xml:space="preserve"> 6 </w:t>
      </w:r>
      <w:proofErr w:type="spellStart"/>
      <w:r>
        <w:rPr>
          <w:rFonts w:ascii="Times New Roman" w:hAnsi="Times New Roman" w:cs="Times New Roman"/>
          <w:lang w:val="ru-RU"/>
        </w:rPr>
        <w:t>Конвенції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Європейський</w:t>
      </w:r>
      <w:proofErr w:type="spellEnd"/>
      <w:r>
        <w:rPr>
          <w:rFonts w:ascii="Times New Roman" w:hAnsi="Times New Roman" w:cs="Times New Roman"/>
          <w:lang w:val="ru-RU"/>
        </w:rPr>
        <w:t xml:space="preserve"> суд </w:t>
      </w:r>
      <w:proofErr w:type="spellStart"/>
      <w:r>
        <w:rPr>
          <w:rFonts w:ascii="Times New Roman" w:hAnsi="Times New Roman" w:cs="Times New Roman"/>
          <w:lang w:val="ru-RU"/>
        </w:rPr>
        <w:t>звернув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увагу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w:t>
      </w:r>
      <w:proofErr w:type="spellEnd"/>
      <w:r>
        <w:rPr>
          <w:lang w:val="ru-RU"/>
        </w:rPr>
        <w:t xml:space="preserve"> </w:t>
      </w:r>
      <w:proofErr w:type="spellStart"/>
      <w:r>
        <w:rPr>
          <w:rFonts w:ascii="Times New Roman" w:hAnsi="Times New Roman" w:cs="Times New Roman"/>
          <w:lang w:val="ru-RU"/>
        </w:rPr>
        <w:t>визнання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допустимими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доказами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показань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отриманих</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результаті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жорстокого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поводження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забороненого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статтею</w:t>
      </w:r>
      <w:proofErr w:type="spellEnd"/>
      <w:r>
        <w:rPr>
          <w:rFonts w:ascii="Times New Roman" w:hAnsi="Times New Roman" w:cs="Times New Roman"/>
          <w:lang w:val="ru-RU"/>
        </w:rPr>
        <w:t xml:space="preserve"> 3 </w:t>
      </w:r>
      <w:proofErr w:type="spellStart"/>
      <w:r>
        <w:rPr>
          <w:rFonts w:ascii="Times New Roman" w:hAnsi="Times New Roman" w:cs="Times New Roman"/>
          <w:lang w:val="ru-RU"/>
        </w:rPr>
        <w:t>Конвенції</w:t>
      </w:r>
      <w:proofErr w:type="spellEnd"/>
      <w:r>
        <w:rPr>
          <w:rFonts w:ascii="Times New Roman" w:hAnsi="Times New Roman" w:cs="Times New Roman"/>
          <w:lang w:val="ru-RU"/>
        </w:rPr>
        <w:t xml:space="preserve">, з метою </w:t>
      </w:r>
      <w:proofErr w:type="spellStart"/>
      <w:r>
        <w:rPr>
          <w:rFonts w:ascii="Times New Roman" w:hAnsi="Times New Roman" w:cs="Times New Roman"/>
          <w:lang w:val="ru-RU"/>
        </w:rPr>
        <w:t>встановлення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фактів</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кримінальному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провадженні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призводить</w:t>
      </w:r>
      <w:proofErr w:type="spellEnd"/>
      <w:r>
        <w:rPr>
          <w:rFonts w:ascii="Times New Roman" w:hAnsi="Times New Roman" w:cs="Times New Roman"/>
          <w:lang w:val="ru-RU"/>
        </w:rPr>
        <w:t xml:space="preserve"> до </w:t>
      </w:r>
      <w:proofErr w:type="spellStart"/>
      <w:r>
        <w:rPr>
          <w:rFonts w:ascii="Times New Roman" w:hAnsi="Times New Roman" w:cs="Times New Roman"/>
          <w:lang w:val="ru-RU"/>
        </w:rPr>
        <w:t>несправедливості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провадження</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цілому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висновок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застосовується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незалежно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доказової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показань</w:t>
      </w:r>
      <w:proofErr w:type="spellEnd"/>
      <w:r>
        <w:rPr>
          <w:rFonts w:ascii="Times New Roman" w:hAnsi="Times New Roman" w:cs="Times New Roman"/>
          <w:lang w:val="ru-RU"/>
        </w:rPr>
        <w:t xml:space="preserve">, а </w:t>
      </w:r>
      <w:proofErr w:type="spellStart"/>
      <w:r>
        <w:rPr>
          <w:rFonts w:ascii="Times New Roman" w:hAnsi="Times New Roman" w:cs="Times New Roman"/>
          <w:lang w:val="ru-RU"/>
        </w:rPr>
        <w:t>також</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того, </w:t>
      </w:r>
      <w:proofErr w:type="spellStart"/>
      <w:r>
        <w:rPr>
          <w:rFonts w:ascii="Times New Roman" w:hAnsi="Times New Roman" w:cs="Times New Roman"/>
          <w:lang w:val="ru-RU"/>
        </w:rPr>
        <w:t>чи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було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їхнє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використання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вирішальним</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засудження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обвинуваченого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Посилаючись</w:t>
      </w:r>
      <w:proofErr w:type="spellEnd"/>
      <w:r>
        <w:rPr>
          <w:rFonts w:ascii="Times New Roman" w:hAnsi="Times New Roman" w:cs="Times New Roman"/>
          <w:lang w:val="ru-RU"/>
        </w:rPr>
        <w:t xml:space="preserve"> на свою </w:t>
      </w:r>
      <w:proofErr w:type="spellStart"/>
      <w:r>
        <w:rPr>
          <w:rFonts w:ascii="Times New Roman" w:hAnsi="Times New Roman" w:cs="Times New Roman"/>
          <w:lang w:val="ru-RU"/>
        </w:rPr>
        <w:t>попередню</w:t>
      </w:r>
      <w:proofErr w:type="spellEnd"/>
      <w:r>
        <w:rPr>
          <w:rFonts w:ascii="Times New Roman" w:hAnsi="Times New Roman" w:cs="Times New Roman"/>
          <w:lang w:val="ru-RU"/>
        </w:rPr>
        <w:t xml:space="preserve"> практику, </w:t>
      </w:r>
      <w:proofErr w:type="spellStart"/>
      <w:r>
        <w:rPr>
          <w:rFonts w:ascii="Times New Roman" w:hAnsi="Times New Roman" w:cs="Times New Roman"/>
          <w:lang w:val="ru-RU"/>
        </w:rPr>
        <w:t>Європейський</w:t>
      </w:r>
      <w:proofErr w:type="spellEnd"/>
      <w:r>
        <w:rPr>
          <w:rFonts w:ascii="Times New Roman" w:hAnsi="Times New Roman" w:cs="Times New Roman"/>
          <w:lang w:val="ru-RU"/>
        </w:rPr>
        <w:t xml:space="preserve"> суд </w:t>
      </w:r>
      <w:proofErr w:type="spellStart"/>
      <w:r>
        <w:rPr>
          <w:rFonts w:ascii="Times New Roman" w:hAnsi="Times New Roman" w:cs="Times New Roman"/>
          <w:lang w:val="ru-RU"/>
        </w:rPr>
        <w:t>встановив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порушення</w:t>
      </w:r>
      <w:proofErr w:type="spellEnd"/>
      <w:r>
        <w:rPr>
          <w:rFonts w:ascii="Times New Roman" w:hAnsi="Times New Roman" w:cs="Times New Roman"/>
          <w:lang w:val="ru-RU"/>
        </w:rPr>
        <w:t xml:space="preserve"> пункту 1 </w:t>
      </w:r>
      <w:proofErr w:type="spellStart"/>
      <w:r>
        <w:rPr>
          <w:rFonts w:ascii="Times New Roman" w:hAnsi="Times New Roman" w:cs="Times New Roman"/>
          <w:lang w:val="ru-RU"/>
        </w:rPr>
        <w:t>статті</w:t>
      </w:r>
      <w:proofErr w:type="spellEnd"/>
      <w:r>
        <w:rPr>
          <w:rFonts w:ascii="Times New Roman" w:hAnsi="Times New Roman" w:cs="Times New Roman"/>
          <w:lang w:val="ru-RU"/>
        </w:rPr>
        <w:t xml:space="preserve"> 6 </w:t>
      </w:r>
      <w:proofErr w:type="spellStart"/>
      <w:r>
        <w:rPr>
          <w:rFonts w:ascii="Times New Roman" w:hAnsi="Times New Roman" w:cs="Times New Roman"/>
          <w:lang w:val="ru-RU"/>
        </w:rPr>
        <w:t>Конвенції</w:t>
      </w:r>
      <w:proofErr w:type="spellEnd"/>
      <w:r>
        <w:rPr>
          <w:rFonts w:ascii="Times New Roman" w:hAnsi="Times New Roman" w:cs="Times New Roman"/>
          <w:lang w:val="ru-RU"/>
        </w:rPr>
        <w:t xml:space="preserve">.  </w:t>
      </w:r>
    </w:p>
    <w:p w14:paraId="280B8538" w14:textId="77777777" w:rsidR="008055E1" w:rsidRDefault="008055E1">
      <w:pPr>
        <w:pStyle w:val="ECHRPara"/>
        <w:ind w:left="-142" w:right="-148" w:firstLine="426"/>
        <w:rPr>
          <w:rFonts w:ascii="Times New Roman" w:eastAsia="Times New Roman" w:hAnsi="Times New Roman" w:cs="Times New Roman"/>
          <w:lang w:val="uk-UA"/>
        </w:rPr>
      </w:pPr>
    </w:p>
    <w:p w14:paraId="5D027EC6" w14:textId="77777777" w:rsidR="008055E1" w:rsidRDefault="00000000">
      <w:pPr>
        <w:pStyle w:val="ECHRPara"/>
        <w:ind w:left="-142" w:right="-148" w:firstLine="426"/>
        <w:rPr>
          <w:rFonts w:ascii="Times New Roman" w:hAnsi="Times New Roman" w:cs="Times New Roman"/>
          <w:lang w:val="ru-RU"/>
        </w:rPr>
      </w:pPr>
      <w:r>
        <w:rPr>
          <w:rFonts w:ascii="Times New Roman" w:hAnsi="Times New Roman" w:cs="Times New Roman"/>
          <w:lang w:val="ru-RU"/>
        </w:rPr>
        <w:t>ЗА ЦИХ ПІДСТАВ СУД ОДНОГОЛОСНО</w:t>
      </w:r>
    </w:p>
    <w:p w14:paraId="43C64C12" w14:textId="77777777" w:rsidR="008055E1" w:rsidRDefault="008055E1">
      <w:pPr>
        <w:pStyle w:val="ECHRPara"/>
        <w:ind w:left="-142" w:right="-148" w:firstLine="426"/>
        <w:rPr>
          <w:rFonts w:ascii="Times New Roman" w:hAnsi="Times New Roman" w:cs="Times New Roman"/>
          <w:lang w:val="ru-RU"/>
        </w:rPr>
      </w:pPr>
    </w:p>
    <w:p w14:paraId="296115B9" w14:textId="77777777" w:rsidR="008055E1" w:rsidRDefault="00000000">
      <w:pPr>
        <w:pStyle w:val="JuLis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uk-UA"/>
        </w:rPr>
      </w:pPr>
      <w:r>
        <w:rPr>
          <w:rFonts w:ascii="Times New Roman" w:eastAsia="Times New Roman" w:hAnsi="Times New Roman" w:cs="Times New Roman"/>
          <w:lang w:val="uk-UA"/>
        </w:rPr>
        <w:t>«</w:t>
      </w:r>
      <w:r>
        <w:rPr>
          <w:rFonts w:ascii="Times New Roman" w:hAnsi="Times New Roman" w:cs="Times New Roman"/>
          <w:i/>
          <w:lang w:val="uk-UA"/>
        </w:rPr>
        <w:t>1.</w:t>
      </w:r>
      <w:r>
        <w:rPr>
          <w:rFonts w:ascii="Times New Roman" w:hAnsi="Times New Roman" w:cs="Times New Roman"/>
          <w:i/>
          <w:lang w:val="uk-UA"/>
        </w:rPr>
        <w:tab/>
        <w:t xml:space="preserve">Оголошує </w:t>
      </w:r>
      <w:r>
        <w:rPr>
          <w:rFonts w:ascii="Times New Roman" w:hAnsi="Times New Roman" w:cs="Times New Roman"/>
          <w:lang w:val="uk-UA"/>
        </w:rPr>
        <w:t>заяву прийнятною;</w:t>
      </w:r>
    </w:p>
    <w:p w14:paraId="0C8B231E" w14:textId="77777777" w:rsidR="008055E1" w:rsidRDefault="00000000">
      <w:pPr>
        <w:pStyle w:val="JuLis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Cs/>
          <w:lang w:val="uk-UA"/>
        </w:rPr>
      </w:pPr>
      <w:r>
        <w:rPr>
          <w:rFonts w:ascii="Times New Roman" w:hAnsi="Times New Roman" w:cs="Times New Roman"/>
          <w:iCs/>
          <w:lang w:val="uk-UA"/>
        </w:rPr>
        <w:t>2.</w:t>
      </w:r>
      <w:r>
        <w:rPr>
          <w:rFonts w:ascii="Times New Roman" w:hAnsi="Times New Roman" w:cs="Times New Roman"/>
          <w:i/>
          <w:iCs/>
          <w:lang w:val="uk-UA"/>
        </w:rPr>
        <w:tab/>
        <w:t xml:space="preserve">Постановляє, </w:t>
      </w:r>
      <w:r>
        <w:rPr>
          <w:rFonts w:ascii="Times New Roman" w:hAnsi="Times New Roman" w:cs="Times New Roman"/>
          <w:iCs/>
          <w:lang w:val="uk-UA"/>
        </w:rPr>
        <w:t>що було порушено як матеріальний, так і процесуальний аспекти статті 3 Конвенції;</w:t>
      </w:r>
    </w:p>
    <w:p w14:paraId="50CEDF42" w14:textId="77777777" w:rsidR="008055E1" w:rsidRDefault="00000000">
      <w:pPr>
        <w:pStyle w:val="JuLis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lang w:val="uk-UA"/>
        </w:rPr>
        <w:tab/>
      </w:r>
      <w:r>
        <w:rPr>
          <w:rFonts w:ascii="Times New Roman" w:hAnsi="Times New Roman" w:cs="Times New Roman"/>
          <w:i/>
          <w:lang w:val="uk-UA"/>
        </w:rPr>
        <w:t>Постановляє,</w:t>
      </w:r>
      <w:r>
        <w:rPr>
          <w:rFonts w:ascii="Times New Roman" w:hAnsi="Times New Roman" w:cs="Times New Roman"/>
          <w:lang w:val="uk-UA"/>
        </w:rPr>
        <w:t xml:space="preserve"> що було порушено пункт 1 статті 6 Конвенції;</w:t>
      </w:r>
    </w:p>
    <w:p w14:paraId="2B57CB02" w14:textId="77777777" w:rsidR="008055E1" w:rsidRDefault="00000000">
      <w:pPr>
        <w:pStyle w:val="JuLis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uk-UA"/>
        </w:rPr>
      </w:pPr>
      <w:r>
        <w:rPr>
          <w:rFonts w:ascii="Times New Roman" w:hAnsi="Times New Roman" w:cs="Times New Roman"/>
          <w:iCs/>
          <w:lang w:val="uk-UA"/>
        </w:rPr>
        <w:t>4.</w:t>
      </w:r>
      <w:r>
        <w:rPr>
          <w:rFonts w:ascii="Times New Roman" w:hAnsi="Times New Roman" w:cs="Times New Roman"/>
          <w:i/>
          <w:iCs/>
          <w:lang w:val="uk-UA"/>
        </w:rPr>
        <w:tab/>
      </w:r>
      <w:r>
        <w:rPr>
          <w:rFonts w:ascii="Times New Roman" w:hAnsi="Times New Roman" w:cs="Times New Roman"/>
          <w:i/>
          <w:lang w:val="uk-UA"/>
        </w:rPr>
        <w:t>Постановляє</w:t>
      </w:r>
      <w:r>
        <w:rPr>
          <w:rFonts w:ascii="Times New Roman" w:hAnsi="Times New Roman" w:cs="Times New Roman"/>
          <w:lang w:val="uk-UA"/>
        </w:rPr>
        <w:t>, що</w:t>
      </w:r>
    </w:p>
    <w:p w14:paraId="6213D202" w14:textId="77777777" w:rsidR="008055E1" w:rsidRDefault="00000000">
      <w:pPr>
        <w:pStyle w:val="JuLista"/>
        <w:numPr>
          <w:ilvl w:val="1"/>
          <w:numId w:val="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uk-UA"/>
        </w:rPr>
      </w:pPr>
      <w:r>
        <w:rPr>
          <w:rFonts w:ascii="Times New Roman" w:hAnsi="Times New Roman" w:cs="Times New Roman"/>
          <w:lang w:val="uk-UA"/>
        </w:rPr>
        <w:t xml:space="preserve">упродовж трьох місяців держава-відповідач повинна сплатити заявниці 15 000 (п’ятнадцять тисяч) євро в якості відшкодування моральної шкоди та додатково суму будь-якого податку, що </w:t>
      </w:r>
      <w:r>
        <w:rPr>
          <w:rFonts w:ascii="Times New Roman" w:hAnsi="Times New Roman" w:cs="Times New Roman"/>
          <w:lang w:val="uk-UA"/>
        </w:rPr>
        <w:lastRenderedPageBreak/>
        <w:t>може нараховуватися; ця сума має бути конвертована в національну валюту держави-відповідача за курсом на день здійснення платежу;</w:t>
      </w:r>
    </w:p>
    <w:p w14:paraId="2D6C7F1A" w14:textId="77777777" w:rsidR="008055E1" w:rsidRDefault="00000000">
      <w:pPr>
        <w:pStyle w:val="afa"/>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із закінченням зазначеного тримісячного строку до остаточного розрахунку на зазначену суму нараховуватиметься простий відсоток </w:t>
      </w:r>
      <w:r>
        <w:rPr>
          <w:rFonts w:ascii="Times New Roman" w:hAnsi="Times New Roman" w:cs="Times New Roman"/>
          <w:i/>
          <w:sz w:val="24"/>
          <w:szCs w:val="24"/>
          <w:lang w:val="uk-UA"/>
        </w:rPr>
        <w:t>(</w:t>
      </w:r>
      <w:proofErr w:type="spellStart"/>
      <w:r>
        <w:rPr>
          <w:rFonts w:ascii="Times New Roman" w:hAnsi="Times New Roman" w:cs="Times New Roman"/>
          <w:i/>
          <w:sz w:val="24"/>
          <w:szCs w:val="24"/>
          <w:lang w:val="uk-UA"/>
        </w:rPr>
        <w:t>simple</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interest</w:t>
      </w:r>
      <w:proofErr w:type="spellEnd"/>
      <w:r>
        <w:rPr>
          <w:rFonts w:ascii="Times New Roman" w:hAnsi="Times New Roman" w:cs="Times New Roman"/>
          <w:i/>
          <w:sz w:val="24"/>
          <w:szCs w:val="24"/>
          <w:lang w:val="uk-UA"/>
        </w:rPr>
        <w:t>)</w:t>
      </w:r>
      <w:r>
        <w:rPr>
          <w:rFonts w:ascii="Times New Roman" w:hAnsi="Times New Roman" w:cs="Times New Roman"/>
          <w:sz w:val="24"/>
          <w:szCs w:val="24"/>
          <w:lang w:val="uk-UA"/>
        </w:rPr>
        <w:t xml:space="preserve"> у розмірі граничної позичкової ставки Європейського центрального банку, яка діятиме в період несплати, до якої має бути додано три відсоткові пункти;</w:t>
      </w:r>
    </w:p>
    <w:p w14:paraId="3654E342" w14:textId="77777777" w:rsidR="008055E1" w:rsidRDefault="00000000">
      <w:pPr>
        <w:pStyle w:val="JuList"/>
        <w:pBdr>
          <w:top w:val="none" w:sz="0" w:space="0" w:color="auto"/>
          <w:left w:val="none" w:sz="0" w:space="0" w:color="auto"/>
          <w:bottom w:val="none" w:sz="0" w:space="0" w:color="auto"/>
          <w:right w:val="none" w:sz="0" w:space="0" w:color="auto"/>
          <w:between w:val="none" w:sz="0" w:space="0" w:color="auto"/>
        </w:pBdr>
        <w:ind w:left="360" w:firstLine="0"/>
        <w:rPr>
          <w:rFonts w:ascii="Times New Roman" w:hAnsi="Times New Roman" w:cs="Times New Roman"/>
          <w:lang w:val="uk-UA"/>
        </w:rPr>
      </w:pPr>
      <w:r>
        <w:rPr>
          <w:rFonts w:ascii="Times New Roman" w:hAnsi="Times New Roman" w:cs="Times New Roman"/>
          <w:lang w:val="uk-UA"/>
        </w:rPr>
        <w:t>5.</w:t>
      </w:r>
      <w:r>
        <w:rPr>
          <w:rFonts w:ascii="Times New Roman" w:hAnsi="Times New Roman" w:cs="Times New Roman"/>
          <w:i/>
          <w:lang w:val="uk-UA"/>
        </w:rPr>
        <w:tab/>
        <w:t>Відхиляє</w:t>
      </w:r>
      <w:r>
        <w:rPr>
          <w:rFonts w:ascii="Times New Roman" w:hAnsi="Times New Roman" w:cs="Times New Roman"/>
          <w:lang w:val="uk-UA"/>
        </w:rPr>
        <w:t xml:space="preserve"> решту вимог заявниці щодо справедливої сатисфакції».</w:t>
      </w:r>
    </w:p>
    <w:p w14:paraId="719F3A82" w14:textId="77777777" w:rsidR="008055E1" w:rsidRDefault="008055E1">
      <w:pPr>
        <w:ind w:left="-142" w:right="-148" w:firstLine="426"/>
      </w:pPr>
    </w:p>
    <w:sectPr w:rsidR="008055E1">
      <w:pgSz w:w="11900" w:h="16840"/>
      <w:pgMar w:top="568" w:right="707" w:bottom="426" w:left="70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7F99" w14:textId="77777777" w:rsidR="00F17568" w:rsidRDefault="00F17568">
      <w:pPr>
        <w:spacing w:after="0" w:line="240" w:lineRule="auto"/>
      </w:pPr>
      <w:r>
        <w:separator/>
      </w:r>
    </w:p>
  </w:endnote>
  <w:endnote w:type="continuationSeparator" w:id="0">
    <w:p w14:paraId="01942F96" w14:textId="77777777" w:rsidR="00F17568" w:rsidRDefault="00F1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B2B9" w14:textId="77777777" w:rsidR="00F17568" w:rsidRDefault="00F17568">
      <w:pPr>
        <w:spacing w:after="0" w:line="240" w:lineRule="auto"/>
      </w:pPr>
      <w:r>
        <w:separator/>
      </w:r>
    </w:p>
  </w:footnote>
  <w:footnote w:type="continuationSeparator" w:id="0">
    <w:p w14:paraId="0D85CF50" w14:textId="77777777" w:rsidR="00F17568" w:rsidRDefault="00F1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619"/>
    <w:multiLevelType w:val="hybridMultilevel"/>
    <w:tmpl w:val="0F14D33A"/>
    <w:lvl w:ilvl="0" w:tplc="DC846034">
      <w:start w:val="3"/>
      <w:numFmt w:val="decimal"/>
      <w:lvlText w:val="%1."/>
      <w:lvlJc w:val="left"/>
      <w:pPr>
        <w:ind w:left="720" w:hanging="360"/>
      </w:pPr>
      <w:rPr>
        <w:rFonts w:hint="default"/>
        <w:i/>
      </w:rPr>
    </w:lvl>
    <w:lvl w:ilvl="1" w:tplc="1E4A46B4">
      <w:start w:val="1"/>
      <w:numFmt w:val="lowerLetter"/>
      <w:lvlText w:val="%2."/>
      <w:lvlJc w:val="left"/>
      <w:pPr>
        <w:ind w:left="1440" w:hanging="360"/>
      </w:pPr>
    </w:lvl>
    <w:lvl w:ilvl="2" w:tplc="D7CAF776">
      <w:start w:val="1"/>
      <w:numFmt w:val="lowerRoman"/>
      <w:lvlText w:val="%3."/>
      <w:lvlJc w:val="right"/>
      <w:pPr>
        <w:ind w:left="2160" w:hanging="180"/>
      </w:pPr>
    </w:lvl>
    <w:lvl w:ilvl="3" w:tplc="17347130">
      <w:start w:val="1"/>
      <w:numFmt w:val="decimal"/>
      <w:lvlText w:val="%4."/>
      <w:lvlJc w:val="left"/>
      <w:pPr>
        <w:ind w:left="2880" w:hanging="360"/>
      </w:pPr>
    </w:lvl>
    <w:lvl w:ilvl="4" w:tplc="C0EEDB8E">
      <w:start w:val="1"/>
      <w:numFmt w:val="lowerLetter"/>
      <w:lvlText w:val="%5."/>
      <w:lvlJc w:val="left"/>
      <w:pPr>
        <w:ind w:left="3600" w:hanging="360"/>
      </w:pPr>
    </w:lvl>
    <w:lvl w:ilvl="5" w:tplc="899EF9F4">
      <w:start w:val="1"/>
      <w:numFmt w:val="lowerRoman"/>
      <w:lvlText w:val="%6."/>
      <w:lvlJc w:val="right"/>
      <w:pPr>
        <w:ind w:left="4320" w:hanging="180"/>
      </w:pPr>
    </w:lvl>
    <w:lvl w:ilvl="6" w:tplc="9CBC6ABE">
      <w:start w:val="1"/>
      <w:numFmt w:val="decimal"/>
      <w:lvlText w:val="%7."/>
      <w:lvlJc w:val="left"/>
      <w:pPr>
        <w:ind w:left="5040" w:hanging="360"/>
      </w:pPr>
    </w:lvl>
    <w:lvl w:ilvl="7" w:tplc="7868C35C">
      <w:start w:val="1"/>
      <w:numFmt w:val="lowerLetter"/>
      <w:lvlText w:val="%8."/>
      <w:lvlJc w:val="left"/>
      <w:pPr>
        <w:ind w:left="5760" w:hanging="360"/>
      </w:pPr>
    </w:lvl>
    <w:lvl w:ilvl="8" w:tplc="51F0CFD0">
      <w:start w:val="1"/>
      <w:numFmt w:val="lowerRoman"/>
      <w:lvlText w:val="%9."/>
      <w:lvlJc w:val="right"/>
      <w:pPr>
        <w:ind w:left="6480" w:hanging="180"/>
      </w:pPr>
    </w:lvl>
  </w:abstractNum>
  <w:abstractNum w:abstractNumId="1" w15:restartNumberingAfterBreak="0">
    <w:nsid w:val="66BE54BD"/>
    <w:multiLevelType w:val="hybridMultilevel"/>
    <w:tmpl w:val="5484A4E6"/>
    <w:styleLink w:val="ECHRA1StyleList"/>
    <w:lvl w:ilvl="0" w:tplc="A6FA4920">
      <w:start w:val="1"/>
      <w:numFmt w:val="decimal"/>
      <w:pStyle w:val="ECHRA1StyleList"/>
      <w:lvlText w:val="%1."/>
      <w:lvlJc w:val="left"/>
      <w:pPr>
        <w:tabs>
          <w:tab w:val="num" w:pos="340"/>
        </w:tabs>
        <w:ind w:left="340" w:hanging="340"/>
      </w:pPr>
    </w:lvl>
    <w:lvl w:ilvl="1" w:tplc="E0804B40">
      <w:start w:val="1"/>
      <w:numFmt w:val="lowerLetter"/>
      <w:lvlText w:val="(%2)"/>
      <w:lvlJc w:val="left"/>
      <w:pPr>
        <w:tabs>
          <w:tab w:val="num" w:pos="680"/>
        </w:tabs>
        <w:ind w:left="680" w:hanging="340"/>
      </w:pPr>
    </w:lvl>
    <w:lvl w:ilvl="2" w:tplc="3FE0FB06">
      <w:start w:val="1"/>
      <w:numFmt w:val="lowerRoman"/>
      <w:suff w:val="space"/>
      <w:lvlText w:val="(%3)"/>
      <w:lvlJc w:val="left"/>
      <w:pPr>
        <w:ind w:left="1021" w:hanging="341"/>
      </w:pPr>
    </w:lvl>
    <w:lvl w:ilvl="3" w:tplc="DA1A9B48">
      <w:start w:val="1"/>
      <w:numFmt w:val="decimal"/>
      <w:lvlText w:val="(%4)"/>
      <w:lvlJc w:val="left"/>
      <w:pPr>
        <w:ind w:left="1440" w:hanging="360"/>
      </w:pPr>
    </w:lvl>
    <w:lvl w:ilvl="4" w:tplc="8480A63C">
      <w:start w:val="1"/>
      <w:numFmt w:val="lowerLetter"/>
      <w:lvlText w:val="(%5)"/>
      <w:lvlJc w:val="left"/>
      <w:pPr>
        <w:ind w:left="1800" w:hanging="360"/>
      </w:pPr>
    </w:lvl>
    <w:lvl w:ilvl="5" w:tplc="CB6A2D6C">
      <w:start w:val="1"/>
      <w:numFmt w:val="lowerRoman"/>
      <w:lvlText w:val="(%6)"/>
      <w:lvlJc w:val="left"/>
      <w:pPr>
        <w:ind w:left="2160" w:hanging="360"/>
      </w:pPr>
    </w:lvl>
    <w:lvl w:ilvl="6" w:tplc="E9CA8E02">
      <w:start w:val="1"/>
      <w:numFmt w:val="decimal"/>
      <w:lvlText w:val="%7."/>
      <w:lvlJc w:val="left"/>
      <w:pPr>
        <w:ind w:left="2520" w:hanging="360"/>
      </w:pPr>
    </w:lvl>
    <w:lvl w:ilvl="7" w:tplc="853A9D82">
      <w:start w:val="1"/>
      <w:numFmt w:val="lowerLetter"/>
      <w:lvlText w:val="%8."/>
      <w:lvlJc w:val="left"/>
      <w:pPr>
        <w:ind w:left="2880" w:hanging="360"/>
      </w:pPr>
    </w:lvl>
    <w:lvl w:ilvl="8" w:tplc="126ABF12">
      <w:start w:val="1"/>
      <w:numFmt w:val="lowerRoman"/>
      <w:lvlText w:val="%9."/>
      <w:lvlJc w:val="left"/>
      <w:pPr>
        <w:ind w:left="3240" w:hanging="360"/>
      </w:pPr>
    </w:lvl>
  </w:abstractNum>
  <w:abstractNum w:abstractNumId="2" w15:restartNumberingAfterBreak="0">
    <w:nsid w:val="682A5616"/>
    <w:multiLevelType w:val="hybridMultilevel"/>
    <w:tmpl w:val="BC0234D4"/>
    <w:lvl w:ilvl="0" w:tplc="33DAB400">
      <w:start w:val="1"/>
      <w:numFmt w:val="decimal"/>
      <w:suff w:val="space"/>
      <w:lvlText w:val="%1."/>
      <w:lvlJc w:val="left"/>
      <w:pPr>
        <w:ind w:left="720" w:hanging="360"/>
      </w:pPr>
      <w:rPr>
        <w:rFonts w:hint="default"/>
      </w:rPr>
    </w:lvl>
    <w:lvl w:ilvl="1" w:tplc="D4C29B1C">
      <w:start w:val="1"/>
      <w:numFmt w:val="lowerLetter"/>
      <w:lvlText w:val="%2."/>
      <w:lvlJc w:val="left"/>
      <w:pPr>
        <w:ind w:left="1440" w:hanging="360"/>
      </w:pPr>
    </w:lvl>
    <w:lvl w:ilvl="2" w:tplc="F66E9EEA">
      <w:start w:val="1"/>
      <w:numFmt w:val="lowerRoman"/>
      <w:lvlText w:val="%3."/>
      <w:lvlJc w:val="right"/>
      <w:pPr>
        <w:ind w:left="2160" w:hanging="180"/>
      </w:pPr>
    </w:lvl>
    <w:lvl w:ilvl="3" w:tplc="F63AA68A">
      <w:start w:val="1"/>
      <w:numFmt w:val="decimal"/>
      <w:lvlText w:val="%4."/>
      <w:lvlJc w:val="left"/>
      <w:pPr>
        <w:ind w:left="2880" w:hanging="360"/>
      </w:pPr>
    </w:lvl>
    <w:lvl w:ilvl="4" w:tplc="72162384">
      <w:start w:val="1"/>
      <w:numFmt w:val="lowerLetter"/>
      <w:lvlText w:val="%5."/>
      <w:lvlJc w:val="left"/>
      <w:pPr>
        <w:ind w:left="3600" w:hanging="360"/>
      </w:pPr>
    </w:lvl>
    <w:lvl w:ilvl="5" w:tplc="CC8EE646">
      <w:start w:val="1"/>
      <w:numFmt w:val="lowerRoman"/>
      <w:lvlText w:val="%6."/>
      <w:lvlJc w:val="right"/>
      <w:pPr>
        <w:ind w:left="4320" w:hanging="180"/>
      </w:pPr>
    </w:lvl>
    <w:lvl w:ilvl="6" w:tplc="A8CAE210">
      <w:start w:val="1"/>
      <w:numFmt w:val="decimal"/>
      <w:lvlText w:val="%7."/>
      <w:lvlJc w:val="left"/>
      <w:pPr>
        <w:ind w:left="5040" w:hanging="360"/>
      </w:pPr>
    </w:lvl>
    <w:lvl w:ilvl="7" w:tplc="030C3E28">
      <w:start w:val="1"/>
      <w:numFmt w:val="lowerLetter"/>
      <w:lvlText w:val="%8."/>
      <w:lvlJc w:val="left"/>
      <w:pPr>
        <w:ind w:left="5760" w:hanging="360"/>
      </w:pPr>
    </w:lvl>
    <w:lvl w:ilvl="8" w:tplc="13B691EE">
      <w:start w:val="1"/>
      <w:numFmt w:val="lowerRoman"/>
      <w:lvlText w:val="%9."/>
      <w:lvlJc w:val="right"/>
      <w:pPr>
        <w:ind w:left="6480" w:hanging="180"/>
      </w:pPr>
    </w:lvl>
  </w:abstractNum>
  <w:abstractNum w:abstractNumId="3" w15:restartNumberingAfterBreak="0">
    <w:nsid w:val="72DB7A79"/>
    <w:multiLevelType w:val="hybridMultilevel"/>
    <w:tmpl w:val="839A2174"/>
    <w:lvl w:ilvl="0" w:tplc="E592A43A">
      <w:start w:val="4"/>
      <w:numFmt w:val="decimal"/>
      <w:lvlText w:val="%1."/>
      <w:lvlJc w:val="left"/>
      <w:pPr>
        <w:ind w:left="720" w:hanging="360"/>
      </w:pPr>
      <w:rPr>
        <w:rFonts w:hint="default"/>
        <w:i w:val="0"/>
      </w:rPr>
    </w:lvl>
    <w:lvl w:ilvl="1" w:tplc="C68A1448">
      <w:start w:val="1"/>
      <w:numFmt w:val="lowerLetter"/>
      <w:lvlText w:val="%2."/>
      <w:lvlJc w:val="left"/>
      <w:pPr>
        <w:ind w:left="1440" w:hanging="360"/>
      </w:pPr>
    </w:lvl>
    <w:lvl w:ilvl="2" w:tplc="539E5D30">
      <w:start w:val="1"/>
      <w:numFmt w:val="lowerRoman"/>
      <w:lvlText w:val="%3."/>
      <w:lvlJc w:val="right"/>
      <w:pPr>
        <w:ind w:left="2160" w:hanging="180"/>
      </w:pPr>
    </w:lvl>
    <w:lvl w:ilvl="3" w:tplc="791A6A62">
      <w:start w:val="1"/>
      <w:numFmt w:val="decimal"/>
      <w:lvlText w:val="%4."/>
      <w:lvlJc w:val="left"/>
      <w:pPr>
        <w:ind w:left="2880" w:hanging="360"/>
      </w:pPr>
    </w:lvl>
    <w:lvl w:ilvl="4" w:tplc="A4E09FDE">
      <w:start w:val="1"/>
      <w:numFmt w:val="lowerLetter"/>
      <w:lvlText w:val="%5."/>
      <w:lvlJc w:val="left"/>
      <w:pPr>
        <w:ind w:left="3600" w:hanging="360"/>
      </w:pPr>
    </w:lvl>
    <w:lvl w:ilvl="5" w:tplc="B33219D8">
      <w:start w:val="1"/>
      <w:numFmt w:val="lowerRoman"/>
      <w:lvlText w:val="%6."/>
      <w:lvlJc w:val="right"/>
      <w:pPr>
        <w:ind w:left="4320" w:hanging="180"/>
      </w:pPr>
    </w:lvl>
    <w:lvl w:ilvl="6" w:tplc="C43CDA18">
      <w:start w:val="1"/>
      <w:numFmt w:val="decimal"/>
      <w:lvlText w:val="%7."/>
      <w:lvlJc w:val="left"/>
      <w:pPr>
        <w:ind w:left="5040" w:hanging="360"/>
      </w:pPr>
    </w:lvl>
    <w:lvl w:ilvl="7" w:tplc="84EA7F98">
      <w:start w:val="1"/>
      <w:numFmt w:val="lowerLetter"/>
      <w:lvlText w:val="%8."/>
      <w:lvlJc w:val="left"/>
      <w:pPr>
        <w:ind w:left="5760" w:hanging="360"/>
      </w:pPr>
    </w:lvl>
    <w:lvl w:ilvl="8" w:tplc="7BE46E22">
      <w:start w:val="1"/>
      <w:numFmt w:val="lowerRoman"/>
      <w:lvlText w:val="%9."/>
      <w:lvlJc w:val="right"/>
      <w:pPr>
        <w:ind w:left="6480" w:hanging="180"/>
      </w:pPr>
    </w:lvl>
  </w:abstractNum>
  <w:num w:numId="1" w16cid:durableId="758063576">
    <w:abstractNumId w:val="1"/>
  </w:num>
  <w:num w:numId="2" w16cid:durableId="1630437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858943">
    <w:abstractNumId w:val="2"/>
  </w:num>
  <w:num w:numId="4" w16cid:durableId="1037924618">
    <w:abstractNumId w:val="0"/>
  </w:num>
  <w:num w:numId="5" w16cid:durableId="285963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E1"/>
    <w:rsid w:val="00683520"/>
    <w:rsid w:val="008055E1"/>
    <w:rsid w:val="00F1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7CFE"/>
  <w15:docId w15:val="{0D1AAA09-6BD8-4D8E-8C33-D2C82126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lang w:eastAsia="uk-U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customStyle="1" w:styleId="ECHRPara">
    <w:name w:val="ECHR_Para"/>
    <w:link w:val="ECHRParaChar"/>
    <w:uiPriority w:val="12"/>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284"/>
      <w:jc w:val="both"/>
    </w:pPr>
    <w:rPr>
      <w:rFonts w:ascii="Calibri" w:eastAsia="Calibri" w:hAnsi="Calibri" w:cs="Calibri"/>
      <w:color w:val="000000"/>
      <w:sz w:val="24"/>
      <w:szCs w:val="24"/>
      <w:lang w:val="en-US" w:eastAsia="uk-UA"/>
    </w:rPr>
  </w:style>
  <w:style w:type="paragraph" w:customStyle="1" w:styleId="JuList">
    <w:name w:val="Ju_List"/>
    <w:uiPriority w:val="23"/>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340" w:hanging="340"/>
      <w:jc w:val="both"/>
    </w:pPr>
    <w:rPr>
      <w:rFonts w:ascii="Calibri" w:eastAsia="Calibri" w:hAnsi="Calibri" w:cs="Calibri"/>
      <w:color w:val="000000"/>
      <w:sz w:val="24"/>
      <w:szCs w:val="24"/>
      <w:lang w:val="en-US" w:eastAsia="uk-UA"/>
    </w:rPr>
  </w:style>
  <w:style w:type="paragraph" w:customStyle="1" w:styleId="JuLista">
    <w:name w:val="Ju_List_a"/>
    <w:uiPriority w:val="23"/>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346"/>
      <w:jc w:val="both"/>
    </w:pPr>
    <w:rPr>
      <w:rFonts w:ascii="Calibri" w:eastAsia="Calibri" w:hAnsi="Calibri" w:cs="Calibri"/>
      <w:color w:val="000000"/>
      <w:sz w:val="24"/>
      <w:szCs w:val="24"/>
      <w:lang w:val="en-US" w:eastAsia="uk-UA"/>
    </w:rPr>
  </w:style>
  <w:style w:type="character" w:customStyle="1" w:styleId="ECHRParaChar">
    <w:name w:val="ECHR_Para Char"/>
    <w:link w:val="ECHRPara"/>
    <w:uiPriority w:val="12"/>
    <w:qFormat/>
    <w:rPr>
      <w:rFonts w:ascii="Calibri" w:eastAsia="Calibri" w:hAnsi="Calibri" w:cs="Calibri"/>
      <w:color w:val="000000"/>
      <w:sz w:val="24"/>
      <w:szCs w:val="24"/>
      <w:lang w:val="en-US" w:eastAsia="uk-UA"/>
    </w:rPr>
  </w:style>
  <w:style w:type="numbering" w:customStyle="1" w:styleId="ECHRA1StyleList">
    <w:name w:val="ECHR_A1_Style_List"/>
    <w:uiPriority w:val="99"/>
    <w:pPr>
      <w:numPr>
        <w:numId w:val="1"/>
      </w:numPr>
    </w:pPr>
  </w:style>
  <w:style w:type="paragraph" w:styleId="af9">
    <w:name w:val="Normal (Web)"/>
    <w:basedOn w:val="a"/>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JuListi">
    <w:name w:val="Ju_List_i"/>
    <w:basedOn w:val="a"/>
    <w:uiPriority w:val="23"/>
    <w:pPr>
      <w:pBdr>
        <w:top w:val="none" w:sz="0" w:space="0" w:color="auto"/>
        <w:left w:val="none" w:sz="0" w:space="0" w:color="auto"/>
        <w:bottom w:val="none" w:sz="0" w:space="0" w:color="auto"/>
        <w:right w:val="none" w:sz="0" w:space="0" w:color="auto"/>
        <w:between w:val="none" w:sz="0" w:space="0" w:color="auto"/>
      </w:pBdr>
      <w:spacing w:after="0" w:line="240" w:lineRule="auto"/>
      <w:ind w:left="1021" w:hanging="341"/>
      <w:jc w:val="both"/>
    </w:pPr>
    <w:rPr>
      <w:rFonts w:ascii="Times New Roman" w:eastAsia="Times New Roman" w:hAnsi="Times New Roman" w:cs="Times New Roman"/>
      <w:color w:val="auto"/>
      <w:sz w:val="24"/>
      <w:szCs w:val="24"/>
      <w:lang w:val="en-GB" w:eastAsia="en-US"/>
    </w:rPr>
  </w:style>
  <w:style w:type="paragraph" w:styleId="afa">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Arial"/>
        <a:cs typeface="Arial"/>
      </a:majorFont>
      <a:minorFont>
        <a:latin typeface="Calibri"/>
        <a:ea typeface="Arial"/>
        <a:cs typeface="Arial"/>
      </a:minorFont>
    </a:fontScheme>
    <a:fmtScheme name="Стандартна">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2959</Words>
  <Characters>1687</Characters>
  <Application>Microsoft Office Word</Application>
  <DocSecurity>0</DocSecurity>
  <Lines>14</Lines>
  <Paragraphs>9</Paragraphs>
  <ScaleCrop>false</ScaleCrop>
  <Compan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n.tarhoniy</dc:creator>
  <cp:lastModifiedBy>Геннадий Геннадий</cp:lastModifiedBy>
  <cp:revision>2</cp:revision>
  <dcterms:created xsi:type="dcterms:W3CDTF">2023-04-14T07:29:00Z</dcterms:created>
  <dcterms:modified xsi:type="dcterms:W3CDTF">2023-04-14T07:29:00Z</dcterms:modified>
</cp:coreProperties>
</file>