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ЄВРОПЕЙСЬКИЙ СУД З ПРАВ ЛЮДИНИ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КЛІМОВ ТА СЛИВОЦЬКИЙ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KLIMOV AND SLYVOTSKYY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UKRAINE)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аяв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51100/17 та № 69370/17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березня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/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</w:r>
      <w:r/>
    </w:p>
    <w:p>
      <w:pPr>
        <w:pStyle w:val="609"/>
        <w:ind w:left="284" w:firstLine="567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У цій справі згідно з твердженнями заявників кожен з них зазнав жорстокого поводження працівників правоохоронних органів під час затримання та з метою отримання </w:t>
      </w:r>
      <w:r>
        <w:rPr>
          <w:rFonts w:ascii="Times New Roman" w:hAnsi="Times New Roman"/>
          <w:szCs w:val="24"/>
          <w:lang w:val="uk-UA"/>
        </w:rPr>
        <w:t xml:space="preserve">зізнавальних</w:t>
      </w:r>
      <w:r>
        <w:rPr>
          <w:rFonts w:ascii="Times New Roman" w:hAnsi="Times New Roman"/>
          <w:szCs w:val="24"/>
          <w:lang w:val="uk-UA"/>
        </w:rPr>
        <w:t xml:space="preserve"> показань у зв’яз</w:t>
      </w:r>
      <w:r>
        <w:rPr>
          <w:rFonts w:ascii="Times New Roman" w:hAnsi="Times New Roman"/>
          <w:szCs w:val="24"/>
          <w:lang w:val="uk-UA"/>
        </w:rPr>
        <w:t xml:space="preserve">ку з підозрою у скоєнні злочину</w:t>
      </w:r>
      <w:r>
        <w:rPr>
          <w:rFonts w:ascii="Times New Roman" w:hAnsi="Times New Roman"/>
          <w:szCs w:val="24"/>
          <w:lang w:val="uk-UA"/>
        </w:rPr>
        <w:t xml:space="preserve">.</w:t>
      </w:r>
      <w:r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 xml:space="preserve">Заявники</w:t>
      </w:r>
      <w:r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 xml:space="preserve">також стверджували про неефективність проведення розслідування за їхніми </w:t>
      </w:r>
      <w:r>
        <w:rPr>
          <w:rFonts w:ascii="Times New Roman" w:hAnsi="Times New Roman"/>
          <w:szCs w:val="24"/>
          <w:lang w:val="uk-UA"/>
        </w:rPr>
        <w:t xml:space="preserve">відповідними </w:t>
      </w:r>
      <w:r>
        <w:rPr>
          <w:rFonts w:ascii="Times New Roman" w:hAnsi="Times New Roman"/>
          <w:szCs w:val="24"/>
          <w:lang w:val="uk-UA"/>
        </w:rPr>
        <w:t xml:space="preserve">скаргами.</w:t>
      </w:r>
      <w:r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 xml:space="preserve">Незважаючи на скарги заявників на </w:t>
      </w:r>
      <w:r>
        <w:rPr>
          <w:rFonts w:ascii="Times New Roman" w:hAnsi="Times New Roman"/>
          <w:szCs w:val="24"/>
          <w:lang w:val="uk-UA"/>
        </w:rPr>
        <w:t xml:space="preserve">жорстоке</w:t>
      </w:r>
      <w:r>
        <w:rPr>
          <w:rFonts w:ascii="Times New Roman" w:hAnsi="Times New Roman"/>
          <w:szCs w:val="24"/>
          <w:lang w:val="uk-UA"/>
        </w:rPr>
        <w:t xml:space="preserve"> поводження, </w:t>
      </w:r>
      <w:r>
        <w:rPr>
          <w:rFonts w:ascii="Times New Roman" w:hAnsi="Times New Roman"/>
          <w:szCs w:val="24"/>
          <w:lang w:val="uk-UA"/>
        </w:rPr>
        <w:t xml:space="preserve">кримінальні справи порушувалися із надмірною затримкою, </w:t>
      </w:r>
      <w:r>
        <w:rPr>
          <w:rFonts w:ascii="Times New Roman" w:hAnsi="Times New Roman"/>
          <w:szCs w:val="24"/>
          <w:lang w:val="uk-UA"/>
        </w:rPr>
        <w:t xml:space="preserve">судово-медичні експертизи та проведення інших слідчих дій також були проведені зі значними затримками</w:t>
      </w:r>
      <w:r>
        <w:rPr>
          <w:rFonts w:ascii="Times New Roman" w:hAnsi="Times New Roman"/>
          <w:szCs w:val="24"/>
          <w:lang w:val="uk-UA"/>
        </w:rPr>
        <w:t xml:space="preserve">.</w:t>
      </w:r>
      <w:r>
        <w:rPr>
          <w:rFonts w:ascii="Times New Roman" w:hAnsi="Times New Roman"/>
          <w:szCs w:val="24"/>
          <w:lang w:val="uk-UA"/>
        </w:rPr>
        <w:t xml:space="preserve"> Розслідування у справі першого заявника досі триває.</w:t>
      </w:r>
      <w:r/>
    </w:p>
    <w:p>
      <w:pPr>
        <w:pStyle w:val="609"/>
        <w:ind w:left="284" w:firstLine="567"/>
        <w:rPr>
          <w:rFonts w:ascii="Times New Roman" w:hAnsi="Times New Roman"/>
          <w:szCs w:val="24"/>
          <w:highlight w:val="yellow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До Європейського суду з прав людини (далі – Європейський суд) </w:t>
      </w:r>
      <w:r>
        <w:rPr>
          <w:rFonts w:ascii="Times New Roman" w:hAnsi="Times New Roman"/>
          <w:szCs w:val="24"/>
          <w:lang w:val="uk-UA"/>
        </w:rPr>
        <w:t xml:space="preserve">заявники скаржилися </w:t>
      </w:r>
      <w:r>
        <w:rPr>
          <w:rFonts w:ascii="Times New Roman" w:hAnsi="Times New Roman"/>
          <w:szCs w:val="24"/>
          <w:lang w:val="uk-UA"/>
        </w:rPr>
        <w:t xml:space="preserve">за </w:t>
      </w:r>
      <w:r>
        <w:rPr>
          <w:rFonts w:ascii="Times New Roman" w:hAnsi="Times New Roman"/>
          <w:szCs w:val="24"/>
          <w:lang w:val="uk-UA"/>
        </w:rPr>
        <w:t xml:space="preserve">статт</w:t>
      </w:r>
      <w:r>
        <w:rPr>
          <w:rFonts w:ascii="Times New Roman" w:hAnsi="Times New Roman"/>
          <w:szCs w:val="24"/>
          <w:lang w:val="uk-UA"/>
        </w:rPr>
        <w:t xml:space="preserve">ями</w:t>
      </w:r>
      <w:r>
        <w:rPr>
          <w:rFonts w:ascii="Times New Roman" w:hAnsi="Times New Roman"/>
          <w:szCs w:val="24"/>
          <w:lang w:val="uk-UA"/>
        </w:rPr>
        <w:t xml:space="preserve"> 3</w:t>
      </w:r>
      <w:r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 xml:space="preserve">та 13 </w:t>
      </w:r>
      <w:r>
        <w:rPr>
          <w:rFonts w:ascii="Times New Roman" w:hAnsi="Times New Roman"/>
          <w:szCs w:val="24"/>
          <w:lang w:val="uk-UA"/>
        </w:rPr>
        <w:t xml:space="preserve">Конвенції про захист прав людини і основоположних свобод</w:t>
      </w:r>
      <w:r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 xml:space="preserve">(далі – Конвенція) </w:t>
      </w:r>
      <w:r>
        <w:rPr>
          <w:rFonts w:ascii="Times New Roman" w:hAnsi="Times New Roman"/>
          <w:szCs w:val="24"/>
          <w:lang w:val="uk-UA"/>
        </w:rPr>
        <w:t xml:space="preserve">на жорстоке повод</w:t>
      </w:r>
      <w:r>
        <w:rPr>
          <w:rFonts w:ascii="Times New Roman" w:hAnsi="Times New Roman"/>
          <w:szCs w:val="24"/>
          <w:lang w:val="uk-UA"/>
        </w:rPr>
        <w:t xml:space="preserve">ження з ними працівників міліції та </w:t>
      </w:r>
      <w:r>
        <w:rPr>
          <w:rFonts w:ascii="Times New Roman" w:hAnsi="Times New Roman"/>
          <w:szCs w:val="24"/>
          <w:lang w:val="uk-UA"/>
        </w:rPr>
        <w:t xml:space="preserve">непроведення</w:t>
      </w:r>
      <w:r>
        <w:rPr>
          <w:rFonts w:ascii="Times New Roman" w:hAnsi="Times New Roman"/>
          <w:szCs w:val="24"/>
          <w:lang w:val="uk-UA"/>
        </w:rPr>
        <w:t xml:space="preserve"> належного розслідування їхніх відповідних скарг</w:t>
      </w:r>
      <w:r>
        <w:rPr>
          <w:rFonts w:ascii="Times New Roman" w:hAnsi="Times New Roman"/>
          <w:szCs w:val="24"/>
          <w:lang w:val="uk-UA"/>
        </w:rPr>
        <w:t xml:space="preserve">.</w:t>
      </w:r>
      <w:r/>
    </w:p>
    <w:p>
      <w:pPr>
        <w:pStyle w:val="609"/>
        <w:ind w:left="284" w:firstLine="567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Розглянувши скарги заявників за статте</w:t>
      </w:r>
      <w:r>
        <w:rPr>
          <w:rFonts w:ascii="Times New Roman" w:hAnsi="Times New Roman"/>
          <w:szCs w:val="24"/>
          <w:lang w:val="uk-UA"/>
        </w:rPr>
        <w:t xml:space="preserve">ю 3 Конвенції, Європейський суд</w:t>
      </w:r>
      <w:r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 xml:space="preserve">вказав</w:t>
      </w:r>
      <w:r>
        <w:rPr>
          <w:rFonts w:ascii="Times New Roman" w:hAnsi="Times New Roman"/>
          <w:szCs w:val="24"/>
          <w:lang w:val="uk-UA"/>
        </w:rPr>
        <w:t xml:space="preserve">, що труднощі у встановленні суті тверджень заявників про жорстоке поводження були спричинені </w:t>
      </w:r>
      <w:r>
        <w:rPr>
          <w:rFonts w:ascii="Times New Roman" w:hAnsi="Times New Roman"/>
          <w:szCs w:val="24"/>
          <w:lang w:val="uk-UA"/>
        </w:rPr>
        <w:t xml:space="preserve">не</w:t>
      </w:r>
      <w:r>
        <w:rPr>
          <w:rFonts w:ascii="Times New Roman" w:hAnsi="Times New Roman"/>
          <w:szCs w:val="24"/>
          <w:lang w:val="uk-UA"/>
        </w:rPr>
        <w:t xml:space="preserve">проведенням</w:t>
      </w:r>
      <w:r>
        <w:rPr>
          <w:rFonts w:ascii="Times New Roman" w:hAnsi="Times New Roman"/>
          <w:szCs w:val="24"/>
          <w:lang w:val="uk-UA"/>
        </w:rPr>
        <w:t xml:space="preserve"> органами державної влади ефективного розслідування їхніх скарг.</w:t>
      </w:r>
      <w:r>
        <w:rPr>
          <w:rFonts w:ascii="Times New Roman" w:hAnsi="Times New Roman"/>
          <w:szCs w:val="24"/>
          <w:lang w:val="uk-UA"/>
        </w:rPr>
        <w:t xml:space="preserve"> Також Європейський суд наголосив, що проведені на національному рівні розслідування не вказували на серйозні спроби встановити відповідні факти.</w:t>
      </w:r>
      <w:r/>
    </w:p>
    <w:p>
      <w:pPr>
        <w:pStyle w:val="609"/>
        <w:ind w:left="284" w:firstLine="567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П</w:t>
      </w:r>
      <w:r>
        <w:rPr>
          <w:rFonts w:ascii="Times New Roman" w:hAnsi="Times New Roman"/>
          <w:szCs w:val="24"/>
          <w:lang w:val="uk-UA"/>
        </w:rPr>
        <w:t xml:space="preserve">осилаючись на рішення у справі </w:t>
      </w:r>
      <w:r>
        <w:rPr>
          <w:rFonts w:ascii="Times New Roman" w:hAnsi="Times New Roman"/>
          <w:i/>
          <w:szCs w:val="24"/>
          <w:lang w:val="uk-UA"/>
        </w:rPr>
        <w:t xml:space="preserve">«</w:t>
      </w:r>
      <w:r>
        <w:rPr>
          <w:rFonts w:ascii="Times New Roman" w:hAnsi="Times New Roman"/>
          <w:i/>
          <w:szCs w:val="24"/>
          <w:lang w:val="uk-UA"/>
        </w:rPr>
        <w:t xml:space="preserve">Каверзін</w:t>
      </w:r>
      <w:r>
        <w:rPr>
          <w:rFonts w:ascii="Times New Roman" w:hAnsi="Times New Roman"/>
          <w:i/>
          <w:szCs w:val="24"/>
          <w:lang w:val="uk-UA"/>
        </w:rPr>
        <w:t xml:space="preserve"> проти України»</w:t>
      </w:r>
      <w:r>
        <w:rPr>
          <w:rFonts w:ascii="Times New Roman" w:hAnsi="Times New Roman"/>
          <w:szCs w:val="24"/>
          <w:lang w:val="uk-UA"/>
        </w:rPr>
        <w:t xml:space="preserve">, </w:t>
      </w:r>
      <w:r>
        <w:rPr>
          <w:rFonts w:ascii="Times New Roman" w:hAnsi="Times New Roman"/>
          <w:szCs w:val="24"/>
          <w:lang w:val="uk-UA"/>
        </w:rPr>
        <w:t xml:space="preserve">Європейський суд </w:t>
      </w:r>
      <w:r>
        <w:rPr>
          <w:rFonts w:ascii="Times New Roman" w:hAnsi="Times New Roman"/>
          <w:szCs w:val="24"/>
          <w:lang w:val="uk-UA"/>
        </w:rPr>
        <w:t xml:space="preserve">вказав, що небажання органів державної влади забезпечити оперативне та ретельне розслідування скарг на жорстоке поводження працівників правоохоронних орга</w:t>
      </w:r>
      <w:r>
        <w:rPr>
          <w:rFonts w:ascii="Times New Roman" w:hAnsi="Times New Roman"/>
          <w:szCs w:val="24"/>
          <w:lang w:val="uk-UA"/>
        </w:rPr>
        <w:t xml:space="preserve">нів становить системну проблему, і констатував порушення процесуаль</w:t>
      </w:r>
      <w:r>
        <w:rPr>
          <w:rFonts w:ascii="Times New Roman" w:hAnsi="Times New Roman"/>
          <w:szCs w:val="24"/>
          <w:lang w:val="uk-UA"/>
        </w:rPr>
        <w:t xml:space="preserve">ного аспекту статті 3 Конвенції</w:t>
      </w:r>
      <w:r>
        <w:rPr>
          <w:rFonts w:ascii="Times New Roman" w:hAnsi="Times New Roman" w:cs="Times New Roman"/>
          <w:szCs w:val="24"/>
          <w:lang w:val="uk-UA"/>
        </w:rPr>
        <w:t xml:space="preserve">.</w:t>
      </w:r>
      <w:r/>
    </w:p>
    <w:p>
      <w:pPr>
        <w:pStyle w:val="609"/>
        <w:ind w:firstLine="426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  <w:r/>
    </w:p>
    <w:p>
      <w:pPr>
        <w:pStyle w:val="609"/>
        <w:ind w:firstLine="426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  <w:r/>
    </w:p>
    <w:p>
      <w:pPr>
        <w:pStyle w:val="609"/>
        <w:ind w:left="284" w:firstLine="0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ЗА ЦИХ ПІДСТАВ СУД ОДНОГОЛОСНО</w:t>
      </w:r>
      <w:r/>
    </w:p>
    <w:p>
      <w:pPr>
        <w:pStyle w:val="606"/>
        <w:ind w:left="284" w:firstLine="0"/>
        <w:tabs>
          <w:tab w:val="num" w:pos="482" w:leader="none"/>
        </w:tabs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«</w:t>
      </w:r>
      <w:r>
        <w:rPr>
          <w:rFonts w:ascii="Times New Roman" w:hAnsi="Times New Roman" w:cs="Times New Roman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i/>
          <w:lang w:val="uk-UA"/>
        </w:rPr>
        <w:t xml:space="preserve">Вирішує </w:t>
      </w:r>
      <w:r>
        <w:rPr>
          <w:rFonts w:ascii="Times New Roman" w:hAnsi="Times New Roman" w:cs="Times New Roman"/>
          <w:lang w:val="uk-UA"/>
        </w:rPr>
        <w:t xml:space="preserve">об’єднати заяви;</w:t>
      </w:r>
      <w:r/>
    </w:p>
    <w:p>
      <w:pPr>
        <w:pStyle w:val="606"/>
        <w:ind w:left="284" w:firstLine="0"/>
        <w:tabs>
          <w:tab w:val="num" w:pos="482" w:leader="none"/>
        </w:tabs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</w:t>
      </w:r>
      <w:r>
        <w:rPr>
          <w:rFonts w:ascii="Times New Roman" w:hAnsi="Times New Roman" w:cs="Times New Roman"/>
          <w:i/>
          <w:lang w:val="uk-UA"/>
        </w:rPr>
        <w:tab/>
        <w:t xml:space="preserve">Оголошує </w:t>
      </w:r>
      <w:r>
        <w:rPr>
          <w:rFonts w:ascii="Times New Roman" w:hAnsi="Times New Roman" w:cs="Times New Roman"/>
          <w:lang w:val="uk-UA"/>
        </w:rPr>
        <w:t xml:space="preserve">заяви прийнятними;</w:t>
      </w:r>
      <w:r/>
    </w:p>
    <w:p>
      <w:pPr>
        <w:pStyle w:val="606"/>
        <w:ind w:left="284" w:firstLine="0"/>
        <w:tabs>
          <w:tab w:val="num" w:pos="482" w:leader="none"/>
        </w:tabs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</w:t>
      </w:r>
      <w:r>
        <w:rPr>
          <w:rFonts w:ascii="Times New Roman" w:hAnsi="Times New Roman" w:cs="Times New Roman"/>
          <w:i/>
          <w:lang w:val="uk-UA"/>
        </w:rPr>
        <w:tab/>
        <w:t xml:space="preserve">Постановляє, </w:t>
      </w:r>
      <w:r>
        <w:rPr>
          <w:rFonts w:ascii="Times New Roman" w:hAnsi="Times New Roman" w:cs="Times New Roman"/>
          <w:lang w:val="uk-UA"/>
        </w:rPr>
        <w:t xml:space="preserve">що було порушено статтю 3 Конвенції;</w:t>
      </w:r>
      <w:r/>
    </w:p>
    <w:p>
      <w:pPr>
        <w:pStyle w:val="606"/>
        <w:ind w:left="284" w:firstLine="0"/>
        <w:tabs>
          <w:tab w:val="num" w:pos="482" w:leader="none"/>
        </w:tabs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</w:t>
      </w:r>
      <w:r>
        <w:rPr>
          <w:rFonts w:ascii="Times New Roman" w:hAnsi="Times New Roman" w:cs="Times New Roman"/>
          <w:i/>
          <w:lang w:val="uk-UA"/>
        </w:rPr>
        <w:tab/>
        <w:t xml:space="preserve">Постановляє, </w:t>
      </w:r>
      <w:r>
        <w:rPr>
          <w:rFonts w:ascii="Times New Roman" w:hAnsi="Times New Roman" w:cs="Times New Roman"/>
          <w:lang w:val="uk-UA"/>
        </w:rPr>
        <w:t xml:space="preserve">що:</w:t>
      </w:r>
      <w:r/>
    </w:p>
    <w:p>
      <w:pPr>
        <w:pStyle w:val="606"/>
        <w:ind w:left="284" w:firstLine="0"/>
        <w:tabs>
          <w:tab w:val="num" w:pos="482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(a)</w:t>
      </w:r>
      <w:r>
        <w:rPr>
          <w:rFonts w:ascii="Times New Roman" w:hAnsi="Times New Roman" w:cs="Times New Roman"/>
          <w:lang w:val="uk-UA"/>
        </w:rPr>
        <w:tab/>
        <w:t xml:space="preserve">упродовж трьох місяців держава-відповідач повинна сплатити заявникам суми, зазначені у таблиці в додатку, які мають бути конвертовані в національну валюту держави-відповідача за курсом на день здійснення платежу;</w:t>
      </w:r>
      <w:r/>
    </w:p>
    <w:p>
      <w:pPr>
        <w:pStyle w:val="606"/>
        <w:ind w:left="284" w:firstLine="0"/>
        <w:tabs>
          <w:tab w:val="num" w:pos="482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(b)</w:t>
      </w:r>
      <w:r>
        <w:rPr>
          <w:rFonts w:ascii="Times New Roman" w:hAnsi="Times New Roman" w:cs="Times New Roman"/>
          <w:lang w:val="uk-UA"/>
        </w:rPr>
        <w:tab/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>
        <w:rPr>
          <w:rFonts w:ascii="Times New Roman" w:hAnsi="Times New Roman" w:cs="Times New Roman"/>
          <w:i/>
          <w:lang w:val="uk-UA"/>
        </w:rPr>
        <w:t xml:space="preserve">(</w:t>
      </w:r>
      <w:r>
        <w:rPr>
          <w:rFonts w:ascii="Times New Roman" w:hAnsi="Times New Roman" w:cs="Times New Roman"/>
          <w:i/>
          <w:lang w:val="uk-UA"/>
        </w:rPr>
        <w:t xml:space="preserve">simple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interest</w:t>
      </w:r>
      <w:r>
        <w:rPr>
          <w:rFonts w:ascii="Times New Roman" w:hAnsi="Times New Roman" w:cs="Times New Roman"/>
          <w:i/>
          <w:lang w:val="uk-UA"/>
        </w:rPr>
        <w:t xml:space="preserve">)</w:t>
      </w:r>
      <w:r>
        <w:rPr>
          <w:rFonts w:ascii="Times New Roman" w:hAnsi="Times New Roman" w:cs="Times New Roman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пункти;</w:t>
      </w:r>
      <w:r/>
    </w:p>
    <w:p>
      <w:pPr>
        <w:pStyle w:val="606"/>
        <w:ind w:left="284" w:firstLine="0"/>
        <w:tabs>
          <w:tab w:val="num" w:pos="482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</w:t>
      </w:r>
      <w:r>
        <w:rPr>
          <w:rFonts w:ascii="Times New Roman" w:hAnsi="Times New Roman" w:cs="Times New Roman"/>
          <w:i/>
          <w:lang w:val="uk-UA"/>
        </w:rPr>
        <w:tab/>
        <w:t xml:space="preserve">Відхиляє </w:t>
      </w:r>
      <w:r>
        <w:rPr>
          <w:rFonts w:ascii="Times New Roman" w:hAnsi="Times New Roman" w:cs="Times New Roman"/>
          <w:lang w:val="uk-UA"/>
        </w:rPr>
        <w:t xml:space="preserve">решту вимог заявників щодо справедливої сатисфакції.</w:t>
      </w:r>
      <w:r>
        <w:rPr>
          <w:rFonts w:ascii="Times New Roman" w:hAnsi="Times New Roman" w:cs="Times New Roman"/>
          <w:szCs w:val="24"/>
          <w:lang w:val="uk-UA"/>
        </w:rPr>
        <w:t xml:space="preserve">»</w:t>
      </w:r>
      <w:r/>
    </w:p>
    <w:sectPr>
      <w:footnotePr/>
      <w:endnotePr/>
      <w:type w:val="nextPage"/>
      <w:pgSz w:w="11906" w:h="16838" w:orient="portrait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alibri">
    <w:panose1 w:val="020F0502020204030204"/>
  </w:font>
  <w:font w:name="Tahoma">
    <w:panose1 w:val="020B0604030504040204"/>
  </w:font>
  <w:font w:name="MS Mincho">
    <w:panose1 w:val="0202060305040509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629"/>
    <w:lvl w:ilvl="0">
      <w:start w:val="1"/>
      <w:numFmt w:val="decimal"/>
      <w:pStyle w:val="629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(%3)"/>
      <w:lvlJc w:val="left"/>
      <w:pPr>
        <w:ind w:left="1134" w:hanging="454"/>
        <w:tabs>
          <w:tab w:val="num" w:pos="113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isLgl w:val="false"/>
      <w:suff w:val="tab"/>
      <w:lvlText w:val=""/>
      <w:lvlJc w:val="left"/>
      <w:pPr>
        <w:ind w:left="2517" w:hanging="345"/>
      </w:pPr>
      <w:rPr>
        <w:rFonts w:hint="default" w:ascii="Symbol" w:hAnsi="Symbol"/>
        <w:sz w:val="20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eastAsiaTheme="minorEastAsia"/>
      <w:lang w:val="ru-RU" w:eastAsia="ru-RU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 w:customStyle="1">
    <w:name w:val="Ju_List"/>
    <w:basedOn w:val="602"/>
    <w:uiPriority w:val="23"/>
    <w:qFormat/>
    <w:pPr>
      <w:ind w:left="340" w:hanging="340"/>
      <w:jc w:val="both"/>
      <w:spacing w:after="0" w:line="240" w:lineRule="auto"/>
    </w:pPr>
    <w:rPr>
      <w:sz w:val="24"/>
      <w:lang w:val="en-US" w:eastAsia="en-US"/>
    </w:rPr>
  </w:style>
  <w:style w:type="paragraph" w:styleId="607" w:customStyle="1">
    <w:name w:val="ECHR_Title_1"/>
    <w:basedOn w:val="602"/>
    <w:next w:val="602"/>
    <w:uiPriority w:val="19"/>
    <w:qFormat/>
    <w:pPr>
      <w:jc w:val="both"/>
      <w:keepLines/>
      <w:keepNext/>
      <w:spacing w:before="720" w:after="240" w:line="240" w:lineRule="auto"/>
      <w:outlineLvl w:val="0"/>
    </w:pPr>
    <w:rPr>
      <w:rFonts w:ascii="Times New Roman" w:hAnsi="Times New Roman" w:eastAsia="MS Mincho" w:cs="Times New Roman"/>
      <w:sz w:val="28"/>
      <w:lang w:val="en-US" w:eastAsia="en-US"/>
    </w:rPr>
  </w:style>
  <w:style w:type="paragraph" w:styleId="608" w:customStyle="1">
    <w:name w:val="Ju_List_a"/>
    <w:basedOn w:val="606"/>
    <w:uiPriority w:val="23"/>
    <w:qFormat/>
    <w:pPr>
      <w:ind w:left="346" w:firstLine="0"/>
    </w:pPr>
  </w:style>
  <w:style w:type="paragraph" w:styleId="609" w:customStyle="1">
    <w:name w:val="ECHR_Para"/>
    <w:basedOn w:val="602"/>
    <w:link w:val="610"/>
    <w:uiPriority w:val="12"/>
    <w:qFormat/>
    <w:pPr>
      <w:ind w:firstLine="284"/>
      <w:jc w:val="both"/>
      <w:spacing w:after="0" w:line="240" w:lineRule="auto"/>
    </w:pPr>
    <w:rPr>
      <w:sz w:val="24"/>
      <w:lang w:val="en-US" w:eastAsia="en-US"/>
    </w:rPr>
  </w:style>
  <w:style w:type="character" w:styleId="610" w:customStyle="1">
    <w:name w:val="ECHR_Para Char"/>
    <w:basedOn w:val="603"/>
    <w:link w:val="609"/>
    <w:uiPriority w:val="12"/>
    <w:qFormat/>
    <w:rPr>
      <w:rFonts w:eastAsiaTheme="minorEastAsia"/>
      <w:sz w:val="24"/>
      <w:lang w:val="en-US"/>
    </w:rPr>
  </w:style>
  <w:style w:type="paragraph" w:styleId="611" w:customStyle="1">
    <w:name w:val="Ju_Signed"/>
    <w:basedOn w:val="602"/>
    <w:next w:val="612"/>
    <w:uiPriority w:val="32"/>
    <w:qFormat/>
    <w:pPr>
      <w:spacing w:before="720" w:after="0" w:line="240" w:lineRule="auto"/>
      <w:tabs>
        <w:tab w:val="center" w:pos="851" w:leader="none"/>
        <w:tab w:val="center" w:pos="6407" w:leader="none"/>
      </w:tabs>
    </w:pPr>
    <w:rPr>
      <w:sz w:val="24"/>
      <w:lang w:val="en-US" w:eastAsia="en-US"/>
    </w:rPr>
  </w:style>
  <w:style w:type="paragraph" w:styleId="612" w:customStyle="1">
    <w:name w:val="Ju_Para_Last"/>
    <w:basedOn w:val="602"/>
    <w:next w:val="609"/>
    <w:uiPriority w:val="30"/>
    <w:qFormat/>
    <w:pPr>
      <w:ind w:firstLine="284"/>
      <w:jc w:val="both"/>
      <w:keepLines/>
      <w:keepNext/>
      <w:spacing w:before="240" w:after="0" w:line="240" w:lineRule="auto"/>
    </w:pPr>
    <w:rPr>
      <w:sz w:val="24"/>
      <w:lang w:val="en-US" w:eastAsia="en-US"/>
    </w:rPr>
  </w:style>
  <w:style w:type="paragraph" w:styleId="613">
    <w:name w:val="Balloon Text"/>
    <w:basedOn w:val="602"/>
    <w:link w:val="614"/>
    <w:uiPriority w:val="98"/>
    <w:semiHidden/>
    <w:pPr>
      <w:jc w:val="both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styleId="614" w:customStyle="1">
    <w:name w:val="Текст у виносці Знак"/>
    <w:basedOn w:val="603"/>
    <w:link w:val="613"/>
    <w:uiPriority w:val="98"/>
    <w:semiHidden/>
    <w:rPr>
      <w:rFonts w:ascii="Tahoma" w:hAnsi="Tahoma" w:cs="Tahoma" w:eastAsiaTheme="minorEastAsia"/>
      <w:sz w:val="16"/>
      <w:szCs w:val="16"/>
      <w:lang w:val="en-US"/>
    </w:rPr>
  </w:style>
  <w:style w:type="paragraph" w:styleId="615" w:customStyle="1">
    <w:name w:val="Ju_List_i"/>
    <w:basedOn w:val="602"/>
    <w:uiPriority w:val="23"/>
    <w:pPr>
      <w:jc w:val="both"/>
      <w:spacing w:after="0" w:line="240" w:lineRule="auto"/>
      <w:tabs>
        <w:tab w:val="num" w:pos="360" w:leader="none"/>
      </w:tabs>
    </w:pPr>
    <w:rPr>
      <w:sz w:val="24"/>
      <w:lang w:val="en-GB" w:eastAsia="en-US"/>
    </w:rPr>
  </w:style>
  <w:style w:type="paragraph" w:styleId="616" w:customStyle="1">
    <w:name w:val="Ju_H_I_Roman"/>
    <w:basedOn w:val="602"/>
    <w:next w:val="602"/>
    <w:uiPriority w:val="19"/>
    <w:qFormat/>
    <w:pPr>
      <w:ind w:left="357" w:hanging="357"/>
      <w:keepLines/>
      <w:keepNext/>
      <w:spacing w:before="100" w:beforeAutospacing="1" w:after="240" w:line="240" w:lineRule="auto"/>
      <w:outlineLvl w:val="1"/>
    </w:pPr>
    <w:rPr>
      <w:caps/>
      <w:sz w:val="24"/>
      <w:lang w:val="en-GB" w:eastAsia="en-US"/>
    </w:rPr>
  </w:style>
  <w:style w:type="paragraph" w:styleId="617" w:customStyle="1">
    <w:name w:val="Ju_H_A"/>
    <w:basedOn w:val="602"/>
    <w:next w:val="602"/>
    <w:uiPriority w:val="19"/>
    <w:qFormat/>
    <w:pPr>
      <w:ind w:left="584" w:hanging="352"/>
      <w:keepLines/>
      <w:keepNext/>
      <w:spacing w:before="100" w:beforeAutospacing="1" w:after="240" w:line="240" w:lineRule="auto"/>
      <w:outlineLvl w:val="2"/>
    </w:pPr>
    <w:rPr>
      <w:b/>
      <w:sz w:val="24"/>
      <w:lang w:val="en-GB" w:eastAsia="en-US"/>
    </w:rPr>
  </w:style>
  <w:style w:type="paragraph" w:styleId="618" w:customStyle="1">
    <w:name w:val="Ju_H_1."/>
    <w:basedOn w:val="602"/>
    <w:next w:val="602"/>
    <w:uiPriority w:val="19"/>
    <w:pPr>
      <w:ind w:left="731" w:hanging="300"/>
      <w:keepLines/>
      <w:keepNext/>
      <w:spacing w:before="100" w:beforeAutospacing="1" w:after="120" w:line="240" w:lineRule="auto"/>
      <w:outlineLvl w:val="3"/>
    </w:pPr>
    <w:rPr>
      <w:i/>
      <w:sz w:val="24"/>
      <w:lang w:val="en-GB" w:eastAsia="en-US"/>
    </w:rPr>
  </w:style>
  <w:style w:type="paragraph" w:styleId="619" w:customStyle="1">
    <w:name w:val="Ju_H_a"/>
    <w:basedOn w:val="602"/>
    <w:next w:val="602"/>
    <w:uiPriority w:val="19"/>
    <w:pPr>
      <w:ind w:left="975" w:hanging="340"/>
      <w:keepLines/>
      <w:keepNext/>
      <w:spacing w:before="100" w:beforeAutospacing="1" w:after="120" w:line="240" w:lineRule="auto"/>
      <w:outlineLvl w:val="4"/>
    </w:pPr>
    <w:rPr>
      <w:b/>
      <w:sz w:val="20"/>
      <w:lang w:val="en-GB" w:eastAsia="en-US"/>
    </w:rPr>
  </w:style>
  <w:style w:type="paragraph" w:styleId="620" w:customStyle="1">
    <w:name w:val="Ju_H_i"/>
    <w:basedOn w:val="602"/>
    <w:next w:val="602"/>
    <w:uiPriority w:val="19"/>
    <w:pPr>
      <w:ind w:left="1191" w:hanging="358"/>
      <w:keepLines/>
      <w:keepNext/>
      <w:spacing w:before="100" w:beforeAutospacing="1" w:after="120" w:line="240" w:lineRule="auto"/>
      <w:outlineLvl w:val="5"/>
    </w:pPr>
    <w:rPr>
      <w:i/>
      <w:sz w:val="20"/>
      <w:lang w:val="en-GB" w:eastAsia="en-US"/>
    </w:rPr>
  </w:style>
  <w:style w:type="paragraph" w:styleId="621" w:customStyle="1">
    <w:name w:val="Ju_H_alpha"/>
    <w:basedOn w:val="602"/>
    <w:next w:val="602"/>
    <w:uiPriority w:val="19"/>
    <w:pPr>
      <w:ind w:left="1372" w:hanging="334"/>
      <w:keepLines/>
      <w:keepNext/>
      <w:spacing w:before="100" w:beforeAutospacing="1" w:after="120" w:line="240" w:lineRule="auto"/>
      <w:outlineLvl w:val="6"/>
    </w:pPr>
    <w:rPr>
      <w:sz w:val="20"/>
      <w:lang w:val="en-GB" w:eastAsia="en-US"/>
    </w:rPr>
  </w:style>
  <w:style w:type="paragraph" w:styleId="622" w:customStyle="1">
    <w:name w:val="Ju_H_–"/>
    <w:basedOn w:val="602"/>
    <w:next w:val="602"/>
    <w:uiPriority w:val="19"/>
    <w:pPr>
      <w:ind w:left="1304" w:hanging="68"/>
      <w:keepLines/>
      <w:keepNext/>
      <w:spacing w:before="100" w:beforeAutospacing="1" w:after="120" w:line="240" w:lineRule="auto"/>
      <w:outlineLvl w:val="7"/>
    </w:pPr>
    <w:rPr>
      <w:i/>
      <w:sz w:val="20"/>
      <w:lang w:val="en-GB" w:eastAsia="en-US"/>
    </w:rPr>
  </w:style>
  <w:style w:type="character" w:styleId="623" w:customStyle="1">
    <w:name w:val="Ju_Para Car"/>
    <w:uiPriority w:val="12"/>
    <w:rPr>
      <w:rFonts w:ascii="Calibri" w:hAnsi="Calibri" w:eastAsia="Times New Roman" w:cs="Times New Roman"/>
      <w:sz w:val="24"/>
      <w:szCs w:val="20"/>
      <w:lang w:val="en-US" w:eastAsia="ru-RU"/>
    </w:rPr>
  </w:style>
  <w:style w:type="character" w:styleId="624">
    <w:name w:val="annotation reference"/>
    <w:basedOn w:val="603"/>
    <w:uiPriority w:val="99"/>
    <w:semiHidden/>
    <w:unhideWhenUsed/>
    <w:rPr>
      <w:sz w:val="18"/>
      <w:szCs w:val="18"/>
    </w:rPr>
  </w:style>
  <w:style w:type="paragraph" w:styleId="625">
    <w:name w:val="annotation text"/>
    <w:basedOn w:val="602"/>
    <w:link w:val="626"/>
    <w:uiPriority w:val="99"/>
    <w:semiHidden/>
    <w:unhideWhenUsed/>
    <w:pPr>
      <w:spacing w:line="240" w:lineRule="auto"/>
    </w:pPr>
    <w:rPr>
      <w:sz w:val="24"/>
      <w:szCs w:val="24"/>
    </w:rPr>
  </w:style>
  <w:style w:type="character" w:styleId="626" w:customStyle="1">
    <w:name w:val="Текст примітки Знак"/>
    <w:basedOn w:val="603"/>
    <w:link w:val="625"/>
    <w:uiPriority w:val="99"/>
    <w:semiHidden/>
    <w:rPr>
      <w:rFonts w:eastAsiaTheme="minorEastAsia"/>
      <w:sz w:val="24"/>
      <w:szCs w:val="24"/>
      <w:lang w:val="ru-RU" w:eastAsia="ru-RU"/>
    </w:rPr>
  </w:style>
  <w:style w:type="paragraph" w:styleId="627">
    <w:name w:val="annotation subject"/>
    <w:basedOn w:val="625"/>
    <w:next w:val="625"/>
    <w:link w:val="628"/>
    <w:uiPriority w:val="99"/>
    <w:semiHidden/>
    <w:unhideWhenUsed/>
    <w:rPr>
      <w:b/>
      <w:bCs/>
      <w:sz w:val="20"/>
      <w:szCs w:val="20"/>
    </w:rPr>
  </w:style>
  <w:style w:type="character" w:styleId="628" w:customStyle="1">
    <w:name w:val="Тема примітки Знак"/>
    <w:basedOn w:val="626"/>
    <w:link w:val="627"/>
    <w:uiPriority w:val="99"/>
    <w:semiHidden/>
    <w:rPr>
      <w:rFonts w:eastAsiaTheme="minorEastAsia"/>
      <w:b/>
      <w:bCs/>
      <w:sz w:val="20"/>
      <w:szCs w:val="20"/>
      <w:lang w:val="ru-RU" w:eastAsia="ru-RU"/>
    </w:rPr>
  </w:style>
  <w:style w:type="numbering" w:styleId="629" w:customStyle="1">
    <w:name w:val="ECHR_A1_Style_List"/>
    <w:basedOn w:val="605"/>
    <w:uiPriority w:val="99"/>
    <w:pPr>
      <w:numPr>
        <w:numId w:val="1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377B001B-475F-4989-B8CC-6929CF83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Калугін Едуард Миколайович</cp:lastModifiedBy>
  <cp:revision>36</cp:revision>
  <dcterms:created xsi:type="dcterms:W3CDTF">2021-10-01T12:04:00Z</dcterms:created>
  <dcterms:modified xsi:type="dcterms:W3CDTF">2023-03-17T08:16:50Z</dcterms:modified>
</cp:coreProperties>
</file>