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F8C2" w14:textId="77777777" w:rsidR="00421428" w:rsidRDefault="002E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4EC5FA46" w14:textId="77777777" w:rsidR="00421428" w:rsidRDefault="002E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СПРАВА «ДИШУК ТА ІНШІ</w:t>
      </w:r>
      <w:r>
        <w:rPr>
          <w:rFonts w:ascii="Times New Roman" w:eastAsia="MS Mincho" w:hAnsi="Times New Roman" w:cs="Times New Roman"/>
          <w:b/>
          <w:sz w:val="24"/>
          <w:lang w:val="uk-UA" w:eastAsia="en-US"/>
        </w:rPr>
        <w:t xml:space="preserve"> ПРОТИ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1C1F3A6E" w14:textId="77777777" w:rsidR="00421428" w:rsidRDefault="002E6ECE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</w:t>
      </w:r>
      <w:r>
        <w:rPr>
          <w:rFonts w:ascii="Times New Roman" w:eastAsia="MS Mincho" w:hAnsi="Times New Roman" w:cs="Times New Roman"/>
          <w:b/>
          <w:sz w:val="24"/>
          <w:lang w:val="en-US" w:eastAsia="en-US"/>
        </w:rPr>
        <w:t>DYSHUK</w:t>
      </w:r>
      <w:r>
        <w:rPr>
          <w:rFonts w:ascii="Times New Roman" w:eastAsia="MS Mincho" w:hAnsi="Times New Roman" w:cs="Times New Roman"/>
          <w:b/>
          <w:sz w:val="24"/>
          <w:lang w:val="uk-UA" w:eastAsia="en-US"/>
        </w:rPr>
        <w:t xml:space="preserve"> AND OTHERS v. UKRAINE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7511501F" w14:textId="77777777" w:rsidR="00421428" w:rsidRDefault="002E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</w:t>
      </w:r>
      <w:r>
        <w:rPr>
          <w:rFonts w:ascii="Times New Roman" w:hAnsi="Times New Roman" w:cs="Times New Roman"/>
          <w:sz w:val="24"/>
          <w:szCs w:val="24"/>
        </w:rPr>
        <w:t>40232/19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інші заяви)</w:t>
      </w:r>
    </w:p>
    <w:p w14:paraId="343B9E03" w14:textId="77777777" w:rsidR="00421428" w:rsidRDefault="0042142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6E29B087" w14:textId="77777777" w:rsidR="00421428" w:rsidRDefault="002E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Стислий виклад рішення від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50662A45" w14:textId="77777777" w:rsidR="00421428" w:rsidRDefault="002E6ECE">
      <w:pPr>
        <w:pStyle w:val="ECHRPara"/>
        <w:ind w:firstLine="426"/>
        <w:rPr>
          <w:szCs w:val="24"/>
          <w:lang w:val="ru-RU"/>
        </w:rPr>
      </w:pPr>
      <w:r>
        <w:rPr>
          <w:rFonts w:eastAsia="PMingLiU"/>
          <w:szCs w:val="24"/>
          <w:lang w:val="uk-UA"/>
        </w:rPr>
        <w:t>До Європейського суду з прав людини (далі – Європейський суд) заявники скаржилися за пунктом 1 статті 5 Конвенції про захист прав людини і основоположних свобод</w:t>
      </w:r>
      <w:r>
        <w:rPr>
          <w:rFonts w:eastAsia="PMingLiU"/>
          <w:szCs w:val="24"/>
          <w:lang w:val="uk-UA"/>
        </w:rPr>
        <w:br/>
        <w:t>(далі – Конвенція) на незаконне тримання їх під вартою.</w:t>
      </w:r>
      <w:r>
        <w:rPr>
          <w:rFonts w:eastAsia="PMingLiU"/>
          <w:szCs w:val="24"/>
          <w:lang w:val="ru-RU"/>
        </w:rPr>
        <w:t xml:space="preserve"> </w:t>
      </w:r>
      <w:r>
        <w:rPr>
          <w:szCs w:val="24"/>
          <w:lang w:val="uk-UA"/>
        </w:rPr>
        <w:t xml:space="preserve">Також заявники у заявах </w:t>
      </w:r>
      <w:r>
        <w:rPr>
          <w:szCs w:val="24"/>
          <w:lang w:val="uk-UA"/>
        </w:rPr>
        <w:br/>
        <w:t>№ 19336/20 і № 1302/21 висунули інші скарги за положеннями Конвенції.</w:t>
      </w:r>
    </w:p>
    <w:p w14:paraId="7A708363" w14:textId="77777777" w:rsidR="00421428" w:rsidRDefault="002E6ECE">
      <w:pPr>
        <w:pStyle w:val="ECHRPara"/>
        <w:ind w:firstLine="426"/>
        <w:rPr>
          <w:rFonts w:eastAsia="Times New Roman"/>
          <w:szCs w:val="24"/>
          <w:lang w:val="uk-UA"/>
        </w:rPr>
      </w:pPr>
      <w:r>
        <w:rPr>
          <w:rFonts w:eastAsia="PMingLiU"/>
          <w:szCs w:val="24"/>
          <w:lang w:val="uk-UA"/>
        </w:rPr>
        <w:t xml:space="preserve">Розглянувши скарги заявників, Європейський суд вказав, що </w:t>
      </w:r>
      <w:r>
        <w:rPr>
          <w:szCs w:val="24"/>
          <w:lang w:val="uk-UA"/>
        </w:rPr>
        <w:t>коли постає питання про «законність» взяття під варту</w:t>
      </w:r>
      <w:r>
        <w:rPr>
          <w:rFonts w:eastAsia="PMingLiU"/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лише дотримання національного законодавства недостатньо – </w:t>
      </w:r>
      <w:r>
        <w:rPr>
          <w:rFonts w:eastAsia="PMingLiU"/>
          <w:szCs w:val="24"/>
          <w:lang w:val="uk-UA"/>
        </w:rPr>
        <w:t>будь-яке позбавлення свободи має відповідати меті захисту особи від свавілля.</w:t>
      </w:r>
      <w:r>
        <w:rPr>
          <w:szCs w:val="24"/>
          <w:lang w:val="uk-UA"/>
        </w:rPr>
        <w:t xml:space="preserve"> Зважаючи на свою практику з цього питання, Європейський суд констатував порушення </w:t>
      </w:r>
      <w:r>
        <w:rPr>
          <w:rFonts w:eastAsia="PMingLiU"/>
          <w:szCs w:val="24"/>
          <w:lang w:val="uk-UA"/>
        </w:rPr>
        <w:t xml:space="preserve">пункту 1 статті 5 </w:t>
      </w:r>
      <w:r>
        <w:rPr>
          <w:szCs w:val="24"/>
          <w:lang w:val="uk-UA"/>
        </w:rPr>
        <w:t>Конвенції</w:t>
      </w:r>
      <w:r>
        <w:rPr>
          <w:rFonts w:eastAsia="Times New Roman"/>
          <w:szCs w:val="24"/>
          <w:lang w:val="uk-UA"/>
        </w:rPr>
        <w:t xml:space="preserve">. </w:t>
      </w:r>
    </w:p>
    <w:p w14:paraId="496D6380" w14:textId="77777777" w:rsidR="00421428" w:rsidRDefault="002E6ECE">
      <w:pPr>
        <w:pStyle w:val="ECHRPara"/>
        <w:ind w:firstLine="426"/>
        <w:rPr>
          <w:rFonts w:eastAsia="PMingLiU"/>
          <w:szCs w:val="24"/>
          <w:lang w:val="uk-UA"/>
        </w:rPr>
      </w:pPr>
      <w:r>
        <w:rPr>
          <w:rFonts w:eastAsia="PMingLiU"/>
          <w:szCs w:val="24"/>
          <w:lang w:val="uk-UA"/>
        </w:rPr>
        <w:t>Щодо інших скарг у заяві № 1302/21 Європейський суд, враховуючи всі наявні у нього матеріали, дійшов висновку, що вони також свідчать про порушення Конвенції у світлі його висновків у рішеннях у справах проти України.</w:t>
      </w:r>
    </w:p>
    <w:p w14:paraId="048F0D21" w14:textId="77777777" w:rsidR="00421428" w:rsidRDefault="002E6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Стосовно інших скарг у заяві № 19336/20 Європейський суд дійшов висновку, що </w:t>
      </w:r>
      <w:r>
        <w:rPr>
          <w:rFonts w:ascii="Times New Roman" w:hAnsi="Times New Roman" w:cs="Times New Roman"/>
          <w:sz w:val="24"/>
          <w:szCs w:val="24"/>
          <w:lang w:val="uk-UA"/>
        </w:rPr>
        <w:t>вони не відповідають критеріям прийнятності та не виявляють жодних ознак порушення прав і свобод, гарантованих Конвенцією або протоколами до неї, та відхилив цю частину заяви відповідно до пункту 4 статті 35 Конвенції.</w:t>
      </w:r>
    </w:p>
    <w:p w14:paraId="7EF7667A" w14:textId="77777777" w:rsidR="00421428" w:rsidRDefault="00421428">
      <w:pPr>
        <w:pStyle w:val="ECHRPara"/>
        <w:ind w:firstLine="426"/>
        <w:rPr>
          <w:rFonts w:eastAsia="PMingLiU"/>
          <w:szCs w:val="24"/>
          <w:lang w:val="uk-UA"/>
        </w:rPr>
      </w:pPr>
    </w:p>
    <w:p w14:paraId="74235F10" w14:textId="77777777" w:rsidR="00421428" w:rsidRDefault="004214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C02D5B0" w14:textId="77777777" w:rsidR="00421428" w:rsidRDefault="002E6ECE">
      <w:pPr>
        <w:pStyle w:val="JuLis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 ЦИХ ПІДСТАВ ЄВРОПЕЙСЬКИЙ СУД ОДНОГОЛОСНО</w:t>
      </w:r>
    </w:p>
    <w:p w14:paraId="63CC7190" w14:textId="77777777" w:rsidR="00421428" w:rsidRDefault="00421428">
      <w:pPr>
        <w:pStyle w:val="JuList"/>
        <w:ind w:left="0" w:firstLine="0"/>
        <w:rPr>
          <w:rFonts w:ascii="Times New Roman" w:hAnsi="Times New Roman"/>
          <w:szCs w:val="24"/>
          <w:lang w:val="uk-UA"/>
        </w:rPr>
      </w:pPr>
    </w:p>
    <w:p w14:paraId="352D9D18" w14:textId="77777777" w:rsidR="00421428" w:rsidRDefault="002E6ECE">
      <w:pPr>
        <w:pStyle w:val="JuList"/>
        <w:rPr>
          <w:rFonts w:ascii="Times New Roman" w:hAnsi="Times New Roman" w:cs="Times New Roman"/>
          <w:iCs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«1.</w:t>
      </w:r>
      <w:r>
        <w:rPr>
          <w:rFonts w:ascii="Times New Roman" w:hAnsi="Times New Roman" w:cs="Times New Roman"/>
          <w:i/>
          <w:lang w:val="uk-UA"/>
        </w:rPr>
        <w:tab/>
        <w:t xml:space="preserve">Вирішує </w:t>
      </w:r>
      <w:r>
        <w:rPr>
          <w:rFonts w:ascii="Times New Roman" w:hAnsi="Times New Roman" w:cs="Times New Roman"/>
          <w:iCs/>
          <w:lang w:val="uk-UA"/>
        </w:rPr>
        <w:t>об’єднати заяви;</w:t>
      </w:r>
    </w:p>
    <w:p w14:paraId="31F07E42" w14:textId="77777777" w:rsidR="00421428" w:rsidRDefault="002E6ECE">
      <w:pPr>
        <w:pStyle w:val="JuLis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/>
          <w:lang w:val="uk-UA"/>
        </w:rPr>
        <w:t>2.</w:t>
      </w:r>
      <w:r>
        <w:rPr>
          <w:rFonts w:ascii="Times New Roman" w:hAnsi="Times New Roman" w:cs="Times New Roman"/>
          <w:i/>
          <w:lang w:val="uk-UA"/>
        </w:rPr>
        <w:tab/>
        <w:t>Оголошує</w:t>
      </w:r>
      <w:r>
        <w:rPr>
          <w:rFonts w:ascii="Times New Roman" w:hAnsi="Times New Roman" w:cs="Times New Roman"/>
          <w:i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прийнятними скарги на незаконне тримання під вартою та інші скарги за усталеною практикою Суду, зазначені у таблиці в додатку, а решту скарг у заяві </w:t>
      </w:r>
      <w:r>
        <w:rPr>
          <w:rFonts w:ascii="Times New Roman" w:hAnsi="Times New Roman" w:cs="Times New Roman"/>
          <w:lang w:val="uk-UA"/>
        </w:rPr>
        <w:br/>
        <w:t xml:space="preserve">№ </w:t>
      </w:r>
      <w:r>
        <w:rPr>
          <w:rFonts w:ascii="Times New Roman" w:hAnsi="Times New Roman" w:cs="Times New Roman"/>
          <w:lang w:val="ru-RU"/>
        </w:rPr>
        <w:t xml:space="preserve">19336/20 – </w:t>
      </w:r>
      <w:proofErr w:type="spellStart"/>
      <w:r>
        <w:rPr>
          <w:rFonts w:ascii="Times New Roman" w:hAnsi="Times New Roman" w:cs="Times New Roman"/>
          <w:lang w:val="ru-RU"/>
        </w:rPr>
        <w:t>неприйнятними</w:t>
      </w:r>
      <w:proofErr w:type="spellEnd"/>
      <w:r>
        <w:rPr>
          <w:rFonts w:ascii="Times New Roman" w:hAnsi="Times New Roman" w:cs="Times New Roman"/>
          <w:iCs/>
          <w:lang w:val="uk-UA"/>
        </w:rPr>
        <w:t>;</w:t>
      </w:r>
    </w:p>
    <w:p w14:paraId="722869F6" w14:textId="77777777" w:rsidR="00421428" w:rsidRDefault="002E6ECE">
      <w:pPr>
        <w:pStyle w:val="JuLis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/>
          <w:lang w:val="uk-UA"/>
        </w:rPr>
        <w:t>3.</w:t>
      </w:r>
      <w:r>
        <w:rPr>
          <w:rFonts w:ascii="Times New Roman" w:hAnsi="Times New Roman" w:cs="Times New Roman"/>
          <w:i/>
          <w:lang w:val="uk-UA"/>
        </w:rPr>
        <w:tab/>
        <w:t>Постановляє</w:t>
      </w:r>
      <w:r>
        <w:rPr>
          <w:rFonts w:ascii="Times New Roman" w:hAnsi="Times New Roman" w:cs="Times New Roman"/>
          <w:iCs/>
          <w:lang w:val="uk-UA"/>
        </w:rPr>
        <w:t>, що ці скарги на незаконне тримання під вартою свідчать про порушення пункту 1 статті 5 Конвенції;</w:t>
      </w:r>
    </w:p>
    <w:p w14:paraId="13760738" w14:textId="77777777" w:rsidR="00421428" w:rsidRDefault="002E6ECE">
      <w:pPr>
        <w:pStyle w:val="JuLis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/>
          <w:lang w:val="uk-UA"/>
        </w:rPr>
        <w:t>4.</w:t>
      </w:r>
      <w:r>
        <w:rPr>
          <w:rFonts w:ascii="Times New Roman" w:hAnsi="Times New Roman" w:cs="Times New Roman"/>
          <w:i/>
          <w:lang w:val="uk-UA"/>
        </w:rPr>
        <w:tab/>
        <w:t>Постановляє</w:t>
      </w:r>
      <w:r>
        <w:rPr>
          <w:rFonts w:ascii="Times New Roman" w:hAnsi="Times New Roman" w:cs="Times New Roman"/>
          <w:iCs/>
          <w:lang w:val="uk-UA"/>
        </w:rPr>
        <w:t>, що було порушено Конвенцію у зв’язку з іншими скаргами, висунутими за усталеною практикою Суду (див. таблицю у додатку);</w:t>
      </w:r>
    </w:p>
    <w:p w14:paraId="31FFA4C5" w14:textId="77777777" w:rsidR="00421428" w:rsidRDefault="002E6ECE">
      <w:pPr>
        <w:pStyle w:val="JuLis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/>
          <w:lang w:val="uk-UA"/>
        </w:rPr>
        <w:t>5.</w:t>
      </w:r>
      <w:r>
        <w:rPr>
          <w:rFonts w:ascii="Times New Roman" w:hAnsi="Times New Roman" w:cs="Times New Roman"/>
          <w:i/>
          <w:lang w:val="uk-UA"/>
        </w:rPr>
        <w:tab/>
        <w:t>Постановляє</w:t>
      </w:r>
      <w:r>
        <w:rPr>
          <w:rFonts w:ascii="Times New Roman" w:hAnsi="Times New Roman" w:cs="Times New Roman"/>
          <w:iCs/>
          <w:lang w:val="uk-UA"/>
        </w:rPr>
        <w:t>, що:</w:t>
      </w:r>
    </w:p>
    <w:p w14:paraId="3760E099" w14:textId="77777777" w:rsidR="00421428" w:rsidRDefault="002E6ECE">
      <w:pPr>
        <w:pStyle w:val="JuList"/>
        <w:ind w:left="709" w:hanging="425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/>
          <w:szCs w:val="24"/>
          <w:lang w:val="uk-UA"/>
        </w:rPr>
        <w:t>(a)</w:t>
      </w:r>
      <w:r>
        <w:rPr>
          <w:rFonts w:ascii="Times New Roman" w:hAnsi="Times New Roman" w:cs="Times New Roman"/>
          <w:iCs/>
          <w:lang w:val="uk-UA"/>
        </w:rPr>
        <w:tab/>
      </w:r>
      <w:r>
        <w:rPr>
          <w:rFonts w:ascii="Times New Roman" w:hAnsi="Times New Roman" w:cs="Times New Roman"/>
          <w:lang w:val="uk-UA"/>
        </w:rPr>
        <w:t>упродовж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трьох місяців держава-відповідач повинна сплатити заявнику у заяві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br/>
        <w:t>№ 1302/21 суми, зазначені у таблиці в додатку; ці суми мають бути конвертовані в національну валюту держави-відповідача за курсом на день здійснення платежу</w:t>
      </w:r>
      <w:r>
        <w:rPr>
          <w:rFonts w:ascii="Times New Roman" w:hAnsi="Times New Roman" w:cs="Times New Roman"/>
          <w:iCs/>
          <w:lang w:val="uk-UA"/>
        </w:rPr>
        <w:t>;</w:t>
      </w:r>
    </w:p>
    <w:p w14:paraId="1A952EEB" w14:textId="77777777" w:rsidR="00421428" w:rsidRDefault="002E6ECE">
      <w:pPr>
        <w:pStyle w:val="JuList"/>
        <w:ind w:left="709" w:hanging="425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(b)</w:t>
      </w:r>
      <w:r>
        <w:rPr>
          <w:rFonts w:ascii="Times New Roman" w:hAnsi="Times New Roman" w:cs="Times New Roman"/>
          <w:iCs/>
          <w:lang w:val="uk-UA"/>
        </w:rPr>
        <w:tab/>
        <w:t>із закінченням зазначеного тримісячного строку до остаточного розрахунку на зазначені суми нараховуватиметься простий відсоток (</w:t>
      </w:r>
      <w:proofErr w:type="spellStart"/>
      <w:r>
        <w:rPr>
          <w:rFonts w:ascii="Times New Roman" w:hAnsi="Times New Roman" w:cs="Times New Roman"/>
          <w:iCs/>
          <w:lang w:val="uk-UA"/>
        </w:rPr>
        <w:t>simple</w:t>
      </w:r>
      <w:proofErr w:type="spellEnd"/>
      <w:r>
        <w:rPr>
          <w:rFonts w:ascii="Times New Roman" w:hAnsi="Times New Roman" w:cs="Times New Roman"/>
          <w:i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uk-UA"/>
        </w:rPr>
        <w:t>interest</w:t>
      </w:r>
      <w:proofErr w:type="spellEnd"/>
      <w:r>
        <w:rPr>
          <w:rFonts w:ascii="Times New Roman" w:hAnsi="Times New Roman" w:cs="Times New Roman"/>
          <w:iCs/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пункти».</w:t>
      </w:r>
    </w:p>
    <w:sectPr w:rsidR="00421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281A" w14:textId="77777777" w:rsidR="00387521" w:rsidRDefault="00387521">
      <w:pPr>
        <w:spacing w:line="240" w:lineRule="auto"/>
      </w:pPr>
      <w:r>
        <w:separator/>
      </w:r>
    </w:p>
  </w:endnote>
  <w:endnote w:type="continuationSeparator" w:id="0">
    <w:p w14:paraId="23592CDD" w14:textId="77777777" w:rsidR="00387521" w:rsidRDefault="00387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8532" w14:textId="77777777" w:rsidR="00387521" w:rsidRDefault="00387521">
      <w:pPr>
        <w:spacing w:after="0"/>
      </w:pPr>
      <w:r>
        <w:separator/>
      </w:r>
    </w:p>
  </w:footnote>
  <w:footnote w:type="continuationSeparator" w:id="0">
    <w:p w14:paraId="1CB4A278" w14:textId="77777777" w:rsidR="00387521" w:rsidRDefault="003875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6BA9"/>
    <w:multiLevelType w:val="hybridMultilevel"/>
    <w:tmpl w:val="228E0098"/>
    <w:lvl w:ilvl="0" w:tplc="132026EE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 w:tplc="DB7CA972">
      <w:start w:val="1"/>
      <w:numFmt w:val="upperRoman"/>
      <w:pStyle w:val="JuHIRoman"/>
      <w:lvlText w:val="%2."/>
      <w:lvlJc w:val="left"/>
      <w:pPr>
        <w:ind w:left="357" w:hanging="357"/>
      </w:pPr>
      <w:rPr>
        <w:rFonts w:hint="default"/>
        <w:sz w:val="24"/>
      </w:rPr>
    </w:lvl>
    <w:lvl w:ilvl="2" w:tplc="19BCB726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 w:tplc="C0CA7556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 w:tplc="C2ACB6AA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 w:tplc="0DCEEF5C">
      <w:start w:val="1"/>
      <w:numFmt w:val="lowerRoman"/>
      <w:pStyle w:val="JuHi"/>
      <w:lvlText w:val="(%6)"/>
      <w:lvlJc w:val="left"/>
      <w:pPr>
        <w:ind w:left="1191" w:hanging="358"/>
      </w:pPr>
      <w:rPr>
        <w:rFonts w:hint="default"/>
      </w:rPr>
    </w:lvl>
    <w:lvl w:ilvl="6" w:tplc="4C721C3C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 w:tplc="76787664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 w:tplc="4C0CF006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 w16cid:durableId="8073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28"/>
    <w:rsid w:val="002E6ECE"/>
    <w:rsid w:val="00387521"/>
    <w:rsid w:val="00421428"/>
    <w:rsid w:val="006E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BBF0"/>
  <w15:docId w15:val="{E78DD55C-0988-4930-8A6D-1D14B72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paragraph" w:customStyle="1" w:styleId="JuList">
    <w:name w:val="Ju_List"/>
    <w:basedOn w:val="a"/>
    <w:uiPriority w:val="23"/>
    <w:qFormat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JuListi">
    <w:name w:val="Ju_List_i"/>
    <w:basedOn w:val="a"/>
    <w:uiPriority w:val="23"/>
    <w:pPr>
      <w:tabs>
        <w:tab w:val="left" w:pos="1134"/>
      </w:tabs>
      <w:spacing w:after="0" w:line="240" w:lineRule="auto"/>
      <w:ind w:left="1134" w:hanging="454"/>
      <w:jc w:val="both"/>
    </w:pPr>
    <w:rPr>
      <w:sz w:val="24"/>
      <w:lang w:val="en-GB" w:eastAsia="en-US"/>
    </w:rPr>
  </w:style>
  <w:style w:type="paragraph" w:customStyle="1" w:styleId="JuHHead">
    <w:name w:val="Ju_H_Head"/>
    <w:basedOn w:val="a"/>
    <w:next w:val="a"/>
    <w:uiPriority w:val="17"/>
    <w:qFormat/>
    <w:pPr>
      <w:keepNext/>
      <w:keepLines/>
      <w:numPr>
        <w:numId w:val="1"/>
      </w:numPr>
      <w:spacing w:before="100" w:beforeAutospacing="1" w:after="240" w:line="240" w:lineRule="auto"/>
      <w:outlineLvl w:val="0"/>
    </w:pPr>
    <w:rPr>
      <w:caps/>
      <w:sz w:val="28"/>
      <w:lang w:val="en-GB" w:eastAsia="en-US"/>
    </w:rPr>
  </w:style>
  <w:style w:type="paragraph" w:customStyle="1" w:styleId="JuHIRoman">
    <w:name w:val="Ju_H_I_Roman"/>
    <w:basedOn w:val="a"/>
    <w:next w:val="a"/>
    <w:uiPriority w:val="19"/>
    <w:qFormat/>
    <w:pPr>
      <w:keepNext/>
      <w:keepLines/>
      <w:numPr>
        <w:ilvl w:val="1"/>
        <w:numId w:val="1"/>
      </w:numPr>
      <w:spacing w:before="100" w:beforeAutospacing="1" w:after="240" w:line="240" w:lineRule="auto"/>
      <w:outlineLvl w:val="1"/>
    </w:pPr>
    <w:rPr>
      <w:caps/>
      <w:sz w:val="24"/>
      <w:lang w:val="en-GB" w:eastAsia="en-US"/>
    </w:rPr>
  </w:style>
  <w:style w:type="paragraph" w:customStyle="1" w:styleId="JuHA">
    <w:name w:val="Ju_H_A"/>
    <w:basedOn w:val="a"/>
    <w:next w:val="a"/>
    <w:uiPriority w:val="17"/>
    <w:qFormat/>
    <w:pPr>
      <w:keepNext/>
      <w:keepLines/>
      <w:numPr>
        <w:ilvl w:val="2"/>
        <w:numId w:val="1"/>
      </w:numPr>
      <w:spacing w:before="100" w:beforeAutospacing="1" w:after="240" w:line="240" w:lineRule="auto"/>
      <w:outlineLvl w:val="2"/>
    </w:pPr>
    <w:rPr>
      <w:b/>
      <w:sz w:val="24"/>
      <w:lang w:val="en-GB" w:eastAsia="en-US"/>
    </w:rPr>
  </w:style>
  <w:style w:type="paragraph" w:customStyle="1" w:styleId="JuH1">
    <w:name w:val="Ju_H_1."/>
    <w:basedOn w:val="a"/>
    <w:next w:val="a"/>
    <w:uiPriority w:val="17"/>
    <w:pPr>
      <w:keepNext/>
      <w:keepLines/>
      <w:numPr>
        <w:ilvl w:val="3"/>
        <w:numId w:val="1"/>
      </w:numPr>
      <w:spacing w:before="100" w:beforeAutospacing="1" w:after="120" w:line="240" w:lineRule="auto"/>
      <w:outlineLvl w:val="3"/>
    </w:pPr>
    <w:rPr>
      <w:i/>
      <w:sz w:val="24"/>
      <w:lang w:val="en-GB" w:eastAsia="en-US"/>
    </w:rPr>
  </w:style>
  <w:style w:type="paragraph" w:customStyle="1" w:styleId="JuHa0">
    <w:name w:val="Ju_H_a"/>
    <w:basedOn w:val="a"/>
    <w:next w:val="a"/>
    <w:uiPriority w:val="17"/>
    <w:pPr>
      <w:keepNext/>
      <w:keepLines/>
      <w:numPr>
        <w:ilvl w:val="4"/>
        <w:numId w:val="1"/>
      </w:numPr>
      <w:spacing w:before="100" w:beforeAutospacing="1" w:after="120" w:line="240" w:lineRule="auto"/>
      <w:outlineLvl w:val="4"/>
    </w:pPr>
    <w:rPr>
      <w:b/>
      <w:sz w:val="20"/>
      <w:lang w:val="en-GB" w:eastAsia="en-US"/>
    </w:rPr>
  </w:style>
  <w:style w:type="paragraph" w:customStyle="1" w:styleId="JuHi">
    <w:name w:val="Ju_H_i"/>
    <w:basedOn w:val="a"/>
    <w:next w:val="a"/>
    <w:uiPriority w:val="17"/>
    <w:pPr>
      <w:keepNext/>
      <w:keepLines/>
      <w:numPr>
        <w:ilvl w:val="5"/>
        <w:numId w:val="1"/>
      </w:numPr>
      <w:spacing w:before="100" w:beforeAutospacing="1" w:after="120" w:line="240" w:lineRule="auto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basedOn w:val="a"/>
    <w:next w:val="a"/>
    <w:uiPriority w:val="17"/>
    <w:pPr>
      <w:keepNext/>
      <w:keepLines/>
      <w:numPr>
        <w:ilvl w:val="6"/>
        <w:numId w:val="1"/>
      </w:numPr>
      <w:spacing w:before="100" w:beforeAutospacing="1" w:after="120" w:line="240" w:lineRule="auto"/>
      <w:outlineLvl w:val="6"/>
    </w:pPr>
    <w:rPr>
      <w:sz w:val="20"/>
      <w:lang w:val="en-GB" w:eastAsia="en-US"/>
    </w:rPr>
  </w:style>
  <w:style w:type="paragraph" w:customStyle="1" w:styleId="JuH">
    <w:name w:val="Ju_H_–"/>
    <w:basedOn w:val="a"/>
    <w:next w:val="a"/>
    <w:uiPriority w:val="17"/>
    <w:pPr>
      <w:keepNext/>
      <w:keepLines/>
      <w:numPr>
        <w:ilvl w:val="7"/>
        <w:numId w:val="1"/>
      </w:numPr>
      <w:spacing w:before="100" w:beforeAutospacing="1" w:after="120" w:line="240" w:lineRule="auto"/>
      <w:outlineLvl w:val="7"/>
    </w:pPr>
    <w:rPr>
      <w:i/>
      <w:sz w:val="20"/>
      <w:lang w:val="en-GB" w:eastAsia="en-US"/>
    </w:rPr>
  </w:style>
  <w:style w:type="paragraph" w:customStyle="1" w:styleId="JuLista">
    <w:name w:val="Ju_List_a"/>
    <w:basedOn w:val="a"/>
    <w:uiPriority w:val="23"/>
    <w:pPr>
      <w:tabs>
        <w:tab w:val="left" w:pos="680"/>
      </w:tabs>
      <w:spacing w:after="0" w:line="240" w:lineRule="auto"/>
      <w:ind w:left="680" w:hanging="340"/>
      <w:jc w:val="both"/>
    </w:pPr>
    <w:rPr>
      <w:sz w:val="24"/>
      <w:lang w:val="en-GB" w:eastAsia="en-US"/>
    </w:rPr>
  </w:style>
  <w:style w:type="paragraph" w:styleId="aff">
    <w:name w:val="No Spacing"/>
    <w:uiPriority w:val="1"/>
    <w:qFormat/>
    <w:rPr>
      <w:rFonts w:eastAsiaTheme="minorEastAsia"/>
      <w:sz w:val="22"/>
      <w:szCs w:val="22"/>
      <w:lang w:val="ru-RU" w:eastAsia="ru-RU"/>
    </w:rPr>
  </w:style>
  <w:style w:type="paragraph" w:customStyle="1" w:styleId="ECHRHeading9">
    <w:name w:val="ECHR_Heading_9"/>
    <w:basedOn w:val="9"/>
    <w:uiPriority w:val="17"/>
    <w:semiHidden/>
    <w:pPr>
      <w:spacing w:before="100" w:beforeAutospacing="1" w:line="240" w:lineRule="auto"/>
      <w:ind w:left="1644" w:hanging="226"/>
      <w:contextualSpacing/>
    </w:pPr>
    <w:rPr>
      <w:i w:val="0"/>
      <w:color w:val="auto"/>
      <w:spacing w:val="5"/>
      <w:sz w:val="18"/>
      <w:lang w:val="en-GB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eastAsiaTheme="minorEastAsia"/>
      <w:sz w:val="20"/>
      <w:szCs w:val="20"/>
      <w:lang w:val="ru-RU"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character" w:customStyle="1" w:styleId="JuParaCar">
    <w:name w:val="Ju_Para Car"/>
    <w:link w:val="ECHRPara"/>
    <w:rPr>
      <w:rFonts w:ascii="Times New Roman" w:eastAsiaTheme="minorEastAsia" w:hAnsi="Times New Roman" w:cs="Times New Roman"/>
      <w:sz w:val="24"/>
      <w:lang w:val="en-US"/>
    </w:rPr>
  </w:style>
  <w:style w:type="paragraph" w:customStyle="1" w:styleId="ECHRPara">
    <w:name w:val="ECHR_Para"/>
    <w:basedOn w:val="a"/>
    <w:link w:val="JuParaCar"/>
    <w:qFormat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dcterms:created xsi:type="dcterms:W3CDTF">2023-04-03T14:47:00Z</dcterms:created>
  <dcterms:modified xsi:type="dcterms:W3CDTF">2023-04-03T14:47:00Z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09A59CAD07DC4EE4ACE3F20B959ADACD</vt:lpwstr>
  </property>
</Properties>
</file>