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725E" w14:textId="77777777" w:rsidR="006552C9" w:rsidRDefault="00000000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ЄВРОПЕЙСЬКИЙ СУД З ПРАВ ЛЮДИНИ</w:t>
      </w:r>
    </w:p>
    <w:p w14:paraId="1CF360CF" w14:textId="77777777" w:rsidR="006552C9" w:rsidRDefault="0000000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СПРАВА </w:t>
      </w:r>
      <w:bookmarkStart w:id="0" w:name="To"/>
      <w:r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ДУБАС ПРОТИ УКРАЇНИ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14:paraId="3FD5A4D0" w14:textId="77777777" w:rsidR="006552C9" w:rsidRDefault="00000000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(</w:t>
      </w:r>
      <w:bookmarkEnd w:id="0"/>
      <w:r>
        <w:rPr>
          <w:rFonts w:ascii="Times New Roman" w:hAnsi="Times New Roman"/>
          <w:b/>
          <w:sz w:val="24"/>
          <w:szCs w:val="24"/>
        </w:rPr>
        <w:t>CASE OF DUBAS v. UKRAINE)</w:t>
      </w:r>
    </w:p>
    <w:p w14:paraId="0220A193" w14:textId="77777777" w:rsidR="006552C9" w:rsidRDefault="00000000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(Заяв</w:t>
      </w:r>
      <w:r>
        <w:rPr>
          <w:rFonts w:ascii="Times New Roman" w:eastAsia="Times New Roman" w:hAnsi="Times New Roman"/>
          <w:sz w:val="24"/>
          <w:szCs w:val="24"/>
          <w:lang w:val="ru-RU" w:eastAsia="fr-FR"/>
        </w:rPr>
        <w:t>а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№ 51222/20)</w:t>
      </w:r>
    </w:p>
    <w:p w14:paraId="38E327FE" w14:textId="77777777" w:rsidR="006552C9" w:rsidRDefault="006552C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fr-FR"/>
        </w:rPr>
      </w:pPr>
    </w:p>
    <w:p w14:paraId="7D821FD3" w14:textId="77777777" w:rsidR="006552C9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Стислий виклад рішення від 09 березня 2023 року</w:t>
      </w:r>
    </w:p>
    <w:p w14:paraId="040BEFB8" w14:textId="77777777" w:rsidR="006552C9" w:rsidRDefault="006552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58F8284E" w14:textId="77777777" w:rsidR="006552C9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12 липня 2018 року Апеляційний суд м. Києва (далі – апеляційний суд) прийняв постанову, якою встановив домовленості про побачення заявника з дочкою, яка проживала окремо від нього з липня 2016 року. У зв’язку з тим, що мати дитини не виконала постанову у добровільному порядку, було відкрито виконавче провадження. Державні виконавці неодноразово накладали на матір дитини штрафи, а також арешт на її автомобіль та банківські рахунки, які нею не сплачувалися або були скасовані судами.</w:t>
      </w:r>
    </w:p>
    <w:p w14:paraId="432F1699" w14:textId="77777777" w:rsidR="006552C9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У 2018 році працівники поліції порушили кримінальне провадження щодо матері дитини за фактом перешкоджання виконанню судового рішення. Інформація про конкретні слідчі дії, проведені під час цього провадження, була відсутня, у зв’язку з чим Голосіївський районний суд м. Києва зобов’язав їх прискорити проведення процесуальних дій у кримінальному провадженні.</w:t>
      </w:r>
    </w:p>
    <w:p w14:paraId="0082B265" w14:textId="77777777" w:rsidR="006552C9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У вересні 2018 року державні виконавці організували єдину зустріч заявника з дитиною в присутності матері, її захисника та психолога, однак дитина відмовилась спілкуватися із заявником, а пізніше мати неодноразово заперечувала проти будь-яких таких зустрічей.</w:t>
      </w:r>
    </w:p>
    <w:p w14:paraId="310272C2" w14:textId="77777777" w:rsidR="006552C9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До Європейського суду з прав людини (далі – Європейський суд) заявник скаржився за статтею 8 Конвенції про захист прав людини і основоположних свобод (далі – Конвенція), що органи державної влади не забезпечили дотримання домовленостей про побачення, встановлених постановою апеляційного суду.</w:t>
      </w:r>
    </w:p>
    <w:p w14:paraId="45F93A72" w14:textId="77777777" w:rsidR="006552C9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Європейський суд зазначив, що органи держаної влади не розглянули способів добровільного виконання відповідного судового рішення, наприклад, шляхом розробки комплексної стратегії виконання, що включала б цільову підтримку для дитини, яка, вочевидь, демонструвала ознаки віддалення від заявника. Також Європейський суд вказав, що примусові заходи, вжиті органами державної влади щодо матері дитини у зв’язку з перешкоджанням проведенню відповідних побачень, були безуспішними; накладені на неї штрафи залишилися несплаченими, постанова про накладення арешту на майно виконана не була, а кримінальне провадження тривало понад чотири роки.</w:t>
      </w:r>
    </w:p>
    <w:p w14:paraId="0543EEB6" w14:textId="77777777" w:rsidR="006552C9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Посилаючись на практику у справах проти України, Європейський суд підкреслив, що невжиття належних заходів для виконання судових рішень, якими встановлюються домовленості про побачення з дітьми, є наслідком недостатньо розвинутих законодавчих та адміністративних механізмів, які б могли прискорити добровільне дотримання домовленостей із залученням фахівців органів опіки та піклування. Крім того, наявні механізми не передбачали відповідні і конкретні заходи для забезпечення примусового виконання рішення, яким було встановлено домовленості про побачення, відповідно до принципу пропорційності. </w:t>
      </w:r>
    </w:p>
    <w:p w14:paraId="1A297C42" w14:textId="77777777" w:rsidR="006552C9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З огляду на це Європейський суд констатував порушення статті 8 Конвенції.</w:t>
      </w:r>
    </w:p>
    <w:p w14:paraId="4490B609" w14:textId="77777777" w:rsidR="006552C9" w:rsidRDefault="00000000">
      <w:pPr>
        <w:pStyle w:val="JuHHead"/>
        <w:rPr>
          <w:lang w:val="uk-UA"/>
        </w:rPr>
      </w:pPr>
      <w:r>
        <w:rPr>
          <w:lang w:val="uk-UA"/>
        </w:rPr>
        <w:t>ЗА ЦИХ ПІДСТАВ СУД ОДНОГОЛОСНО</w:t>
      </w:r>
    </w:p>
    <w:p w14:paraId="7EA44ABC" w14:textId="77777777" w:rsidR="006552C9" w:rsidRDefault="00000000">
      <w:pPr>
        <w:pStyle w:val="JuList"/>
        <w:numPr>
          <w:ilvl w:val="0"/>
          <w:numId w:val="0"/>
        </w:numPr>
        <w:spacing w:before="0" w:after="0"/>
        <w:ind w:firstLine="218"/>
        <w:rPr>
          <w:lang w:val="uk-UA"/>
        </w:rPr>
      </w:pPr>
      <w:r>
        <w:rPr>
          <w:rStyle w:val="s9776b88b"/>
          <w:rFonts w:eastAsiaTheme="majorEastAsia"/>
          <w:color w:val="000000"/>
          <w:shd w:val="clear" w:color="auto" w:fill="FFFFFF"/>
          <w:lang w:val="uk-UA"/>
        </w:rPr>
        <w:t xml:space="preserve">«1. Оголошує </w:t>
      </w:r>
      <w:r>
        <w:rPr>
          <w:color w:val="000000"/>
          <w:shd w:val="clear" w:color="auto" w:fill="FFFFFF"/>
          <w:lang w:val="uk-UA"/>
        </w:rPr>
        <w:t>заяву прийнятною;</w:t>
      </w:r>
    </w:p>
    <w:p w14:paraId="7FD41BD5" w14:textId="77777777" w:rsidR="006552C9" w:rsidRDefault="00000000">
      <w:pPr>
        <w:pStyle w:val="JuList"/>
        <w:numPr>
          <w:ilvl w:val="0"/>
          <w:numId w:val="0"/>
        </w:numPr>
        <w:spacing w:before="0" w:after="0"/>
        <w:ind w:firstLine="218"/>
        <w:rPr>
          <w:iCs/>
          <w:lang w:val="uk-UA"/>
        </w:rPr>
      </w:pPr>
      <w:r>
        <w:rPr>
          <w:rStyle w:val="s9776b88b"/>
          <w:rFonts w:eastAsiaTheme="majorEastAsia"/>
          <w:color w:val="000000"/>
          <w:shd w:val="clear" w:color="auto" w:fill="FFFFFF"/>
          <w:lang w:val="uk-UA"/>
        </w:rPr>
        <w:t xml:space="preserve">2. </w:t>
      </w:r>
      <w:r>
        <w:rPr>
          <w:i/>
          <w:lang w:val="uk-UA"/>
        </w:rPr>
        <w:t xml:space="preserve">Постановляє </w:t>
      </w:r>
      <w:r>
        <w:rPr>
          <w:iCs/>
          <w:lang w:val="uk-UA"/>
        </w:rPr>
        <w:t>що було порушено статтю 8 Конвенції;</w:t>
      </w:r>
    </w:p>
    <w:p w14:paraId="073CBF3B" w14:textId="77777777" w:rsidR="006552C9" w:rsidRDefault="00000000">
      <w:pPr>
        <w:pStyle w:val="JuList"/>
        <w:numPr>
          <w:ilvl w:val="0"/>
          <w:numId w:val="0"/>
        </w:numPr>
        <w:spacing w:before="0" w:after="0"/>
        <w:ind w:firstLine="218"/>
        <w:rPr>
          <w:iCs/>
          <w:lang w:val="uk-UA"/>
        </w:rPr>
      </w:pPr>
      <w:r>
        <w:rPr>
          <w:rStyle w:val="s9776b88b"/>
          <w:rFonts w:eastAsiaTheme="majorEastAsia"/>
          <w:color w:val="000000"/>
          <w:shd w:val="clear" w:color="auto" w:fill="FFFFFF"/>
          <w:lang w:val="uk-UA"/>
        </w:rPr>
        <w:t xml:space="preserve">3. </w:t>
      </w:r>
      <w:r>
        <w:rPr>
          <w:i/>
          <w:lang w:val="uk-UA"/>
        </w:rPr>
        <w:t xml:space="preserve">Постановляє, </w:t>
      </w:r>
      <w:r>
        <w:rPr>
          <w:lang w:val="uk-UA"/>
        </w:rPr>
        <w:t>що:</w:t>
      </w:r>
    </w:p>
    <w:p w14:paraId="4080EFDC" w14:textId="77777777" w:rsidR="006552C9" w:rsidRDefault="00000000">
      <w:pPr>
        <w:pStyle w:val="JuLista"/>
        <w:rPr>
          <w:lang w:val="uk-UA"/>
        </w:rPr>
      </w:pPr>
      <w:r>
        <w:rPr>
          <w:lang w:val="uk-UA"/>
        </w:rPr>
        <w:t>упродовж трьох місяців держава-відповідач повинна сплатити заявнику 4 500 (чотири тисячі п’ятсот) євро та додатково суму будь-якого податку, що може нараховуватися, в якості відшкодування моральної шкоди; ця сума має бути конвертована в національну валюту держави-відповідача за курсом на день здійснення платежу;</w:t>
      </w:r>
    </w:p>
    <w:p w14:paraId="2D7E91F5" w14:textId="77777777" w:rsidR="006552C9" w:rsidRDefault="00000000">
      <w:pPr>
        <w:pStyle w:val="JuLista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із закінченням зазначеного тримісячного строку до остаточного розрахунку на зазначену суму нараховуватиметься простий відсоток </w:t>
      </w:r>
      <w:r>
        <w:rPr>
          <w:i/>
          <w:lang w:val="uk-UA"/>
        </w:rPr>
        <w:t>(</w:t>
      </w:r>
      <w:proofErr w:type="spellStart"/>
      <w:r>
        <w:rPr>
          <w:i/>
          <w:lang w:val="uk-UA"/>
        </w:rPr>
        <w:t>simple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interest</w:t>
      </w:r>
      <w:proofErr w:type="spellEnd"/>
      <w:r>
        <w:rPr>
          <w:i/>
          <w:lang w:val="uk-UA"/>
        </w:rPr>
        <w:t>)</w:t>
      </w:r>
      <w:r>
        <w:rPr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пункти;</w:t>
      </w:r>
    </w:p>
    <w:p w14:paraId="6BB21EF8" w14:textId="77777777" w:rsidR="006552C9" w:rsidRDefault="00000000">
      <w:pPr>
        <w:pStyle w:val="JuList"/>
        <w:numPr>
          <w:ilvl w:val="0"/>
          <w:numId w:val="0"/>
        </w:numPr>
        <w:spacing w:before="0" w:after="0"/>
        <w:ind w:firstLine="218"/>
        <w:rPr>
          <w:lang w:val="uk-UA"/>
        </w:rPr>
      </w:pPr>
      <w:r>
        <w:rPr>
          <w:lang w:val="uk-UA"/>
        </w:rPr>
        <w:t xml:space="preserve">4. </w:t>
      </w:r>
      <w:r>
        <w:rPr>
          <w:rStyle w:val="s9776b88b"/>
          <w:rFonts w:eastAsiaTheme="majorEastAsia"/>
          <w:i/>
          <w:color w:val="000000"/>
          <w:lang w:val="uk-UA"/>
        </w:rPr>
        <w:t xml:space="preserve">Відхиляє </w:t>
      </w:r>
      <w:r>
        <w:rPr>
          <w:lang w:val="uk-UA"/>
        </w:rPr>
        <w:t>решту вимог заявника щодо справедливої сатисфакції</w:t>
      </w:r>
      <w:r>
        <w:rPr>
          <w:i/>
          <w:iCs/>
          <w:lang w:val="uk-UA"/>
        </w:rPr>
        <w:t>»</w:t>
      </w:r>
      <w:r>
        <w:rPr>
          <w:lang w:val="uk-UA"/>
        </w:rPr>
        <w:t>.</w:t>
      </w:r>
    </w:p>
    <w:p w14:paraId="2B5B0E6D" w14:textId="77777777" w:rsidR="006552C9" w:rsidRDefault="006552C9"/>
    <w:sectPr w:rsidR="006552C9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7A39" w14:textId="77777777" w:rsidR="001E5257" w:rsidRDefault="001E5257">
      <w:pPr>
        <w:spacing w:after="0" w:line="240" w:lineRule="auto"/>
      </w:pPr>
      <w:r>
        <w:separator/>
      </w:r>
    </w:p>
  </w:endnote>
  <w:endnote w:type="continuationSeparator" w:id="0">
    <w:p w14:paraId="2384521B" w14:textId="77777777" w:rsidR="001E5257" w:rsidRDefault="001E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71F7" w14:textId="77777777" w:rsidR="001E5257" w:rsidRDefault="001E5257">
      <w:pPr>
        <w:spacing w:after="0" w:line="240" w:lineRule="auto"/>
      </w:pPr>
      <w:r>
        <w:separator/>
      </w:r>
    </w:p>
  </w:footnote>
  <w:footnote w:type="continuationSeparator" w:id="0">
    <w:p w14:paraId="2435CA54" w14:textId="77777777" w:rsidR="001E5257" w:rsidRDefault="001E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669"/>
    <w:multiLevelType w:val="hybridMultilevel"/>
    <w:tmpl w:val="D0A0035C"/>
    <w:styleLink w:val="ECHRA1StyleList"/>
    <w:lvl w:ilvl="0" w:tplc="3CFE6568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88819AE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96360E20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 w:tplc="344EE7F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BE2EF7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B6C4F6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8964BC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2A4B8F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1321F1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2A3DEC"/>
    <w:multiLevelType w:val="hybridMultilevel"/>
    <w:tmpl w:val="A808A8D2"/>
    <w:lvl w:ilvl="0" w:tplc="2272C5DA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 w:tplc="C07AAE62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 w:tplc="768AEEC4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 w:tplc="71FC5D50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 w:tplc="25022BAC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 w:tplc="E69CABD6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 w:tplc="9DCE8702">
      <w:start w:val="1"/>
      <w:numFmt w:val="decimal"/>
      <w:pStyle w:val="JuHalpha"/>
      <w:lvlText w:val="(%7)"/>
      <w:lvlJc w:val="left"/>
      <w:pPr>
        <w:ind w:left="1247" w:hanging="396"/>
      </w:pPr>
      <w:rPr>
        <w:rFonts w:ascii="Times New Roman" w:hAnsi="Times New Roman" w:hint="default"/>
        <w:b w:val="0"/>
        <w:i w:val="0"/>
      </w:rPr>
    </w:lvl>
    <w:lvl w:ilvl="7" w:tplc="F716AD04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 w:tplc="F60CB794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5575669"/>
    <w:multiLevelType w:val="hybridMultilevel"/>
    <w:tmpl w:val="5F328E08"/>
    <w:lvl w:ilvl="0" w:tplc="3B209F4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 w:tplc="D5F260E4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 w:tplc="923ECDFE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 w:tplc="1A86CA92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 w:tplc="CEB2003A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 w:tplc="045EF240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 w:tplc="4C72399A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 w:tplc="32AA205A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 w:tplc="793A432A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3" w15:restartNumberingAfterBreak="0">
    <w:nsid w:val="35ED12EB"/>
    <w:multiLevelType w:val="hybridMultilevel"/>
    <w:tmpl w:val="D0A0035C"/>
    <w:numStyleLink w:val="ECHRA1StyleList"/>
  </w:abstractNum>
  <w:abstractNum w:abstractNumId="4" w15:restartNumberingAfterBreak="0">
    <w:nsid w:val="3C6C376F"/>
    <w:multiLevelType w:val="hybridMultilevel"/>
    <w:tmpl w:val="0422001D"/>
    <w:styleLink w:val="1ai"/>
    <w:lvl w:ilvl="0" w:tplc="D93C6FC8">
      <w:start w:val="1"/>
      <w:numFmt w:val="decimal"/>
      <w:pStyle w:val="1ai"/>
      <w:lvlText w:val="%1)"/>
      <w:lvlJc w:val="left"/>
      <w:pPr>
        <w:ind w:left="360" w:hanging="360"/>
      </w:pPr>
    </w:lvl>
    <w:lvl w:ilvl="1" w:tplc="C1F8D64E">
      <w:start w:val="1"/>
      <w:numFmt w:val="lowerLetter"/>
      <w:lvlText w:val="%2)"/>
      <w:lvlJc w:val="left"/>
      <w:pPr>
        <w:ind w:left="720" w:hanging="360"/>
      </w:pPr>
    </w:lvl>
    <w:lvl w:ilvl="2" w:tplc="FCDE56FE">
      <w:start w:val="1"/>
      <w:numFmt w:val="lowerRoman"/>
      <w:lvlText w:val="%3)"/>
      <w:lvlJc w:val="left"/>
      <w:pPr>
        <w:ind w:left="1080" w:hanging="360"/>
      </w:pPr>
    </w:lvl>
    <w:lvl w:ilvl="3" w:tplc="AC0A6D08">
      <w:start w:val="1"/>
      <w:numFmt w:val="decimal"/>
      <w:lvlText w:val="(%4)"/>
      <w:lvlJc w:val="left"/>
      <w:pPr>
        <w:ind w:left="1440" w:hanging="360"/>
      </w:pPr>
    </w:lvl>
    <w:lvl w:ilvl="4" w:tplc="33EC6C30">
      <w:start w:val="1"/>
      <w:numFmt w:val="lowerLetter"/>
      <w:lvlText w:val="(%5)"/>
      <w:lvlJc w:val="left"/>
      <w:pPr>
        <w:ind w:left="1800" w:hanging="360"/>
      </w:pPr>
    </w:lvl>
    <w:lvl w:ilvl="5" w:tplc="0ED6AD3C">
      <w:start w:val="1"/>
      <w:numFmt w:val="lowerRoman"/>
      <w:lvlText w:val="(%6)"/>
      <w:lvlJc w:val="left"/>
      <w:pPr>
        <w:ind w:left="2160" w:hanging="360"/>
      </w:pPr>
    </w:lvl>
    <w:lvl w:ilvl="6" w:tplc="46FCBD50">
      <w:start w:val="1"/>
      <w:numFmt w:val="decimal"/>
      <w:lvlText w:val="%7."/>
      <w:lvlJc w:val="left"/>
      <w:pPr>
        <w:ind w:left="2520" w:hanging="360"/>
      </w:pPr>
    </w:lvl>
    <w:lvl w:ilvl="7" w:tplc="4860FBA6">
      <w:start w:val="1"/>
      <w:numFmt w:val="lowerLetter"/>
      <w:lvlText w:val="%8."/>
      <w:lvlJc w:val="left"/>
      <w:pPr>
        <w:ind w:left="2880" w:hanging="360"/>
      </w:pPr>
    </w:lvl>
    <w:lvl w:ilvl="8" w:tplc="CE18FFF6">
      <w:start w:val="1"/>
      <w:numFmt w:val="lowerRoman"/>
      <w:lvlText w:val="%9."/>
      <w:lvlJc w:val="left"/>
      <w:pPr>
        <w:ind w:left="3240" w:hanging="360"/>
      </w:pPr>
    </w:lvl>
  </w:abstractNum>
  <w:num w:numId="1" w16cid:durableId="1908758558">
    <w:abstractNumId w:val="0"/>
  </w:num>
  <w:num w:numId="2" w16cid:durableId="567812180">
    <w:abstractNumId w:val="1"/>
  </w:num>
  <w:num w:numId="3" w16cid:durableId="473179892">
    <w:abstractNumId w:val="3"/>
  </w:num>
  <w:num w:numId="4" w16cid:durableId="415369140">
    <w:abstractNumId w:val="2"/>
  </w:num>
  <w:num w:numId="5" w16cid:durableId="1360929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9"/>
    <w:rsid w:val="001E5257"/>
    <w:rsid w:val="006552C9"/>
    <w:rsid w:val="00A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AA3A"/>
  <w15:docId w15:val="{3DB99731-28F2-44CA-B772-70C5DA23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JuList">
    <w:name w:val="Ju_List"/>
    <w:basedOn w:val="a"/>
    <w:uiPriority w:val="23"/>
    <w:qFormat/>
    <w:pPr>
      <w:numPr>
        <w:numId w:val="3"/>
      </w:numPr>
      <w:spacing w:before="280" w:after="6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JuLista">
    <w:name w:val="Ju_List_a"/>
    <w:basedOn w:val="a"/>
    <w:uiPriority w:val="23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JuListi">
    <w:name w:val="Ju_List_i"/>
    <w:basedOn w:val="a"/>
    <w:uiPriority w:val="23"/>
    <w:qFormat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JuHHead">
    <w:name w:val="Ju_H_Head"/>
    <w:basedOn w:val="1"/>
    <w:next w:val="a"/>
    <w:uiPriority w:val="17"/>
    <w:qFormat/>
    <w:pPr>
      <w:numPr>
        <w:numId w:val="2"/>
      </w:numPr>
      <w:spacing w:before="100" w:beforeAutospacing="1" w:after="240" w:line="240" w:lineRule="auto"/>
      <w:jc w:val="both"/>
    </w:pPr>
    <w:rPr>
      <w:rFonts w:ascii="Times New Roman" w:eastAsia="MS Gothic" w:hAnsi="Times New Roman" w:cs="Times New Roman"/>
      <w:b w:val="0"/>
      <w:caps/>
      <w:color w:val="auto"/>
      <w:lang w:val="en-GB"/>
    </w:rPr>
  </w:style>
  <w:style w:type="numbering" w:customStyle="1" w:styleId="ECHRA1StyleList">
    <w:name w:val="ECHR_A1_Style_List"/>
    <w:basedOn w:val="a2"/>
    <w:uiPriority w:val="99"/>
    <w:pPr>
      <w:numPr>
        <w:numId w:val="1"/>
      </w:numPr>
    </w:pPr>
  </w:style>
  <w:style w:type="paragraph" w:customStyle="1" w:styleId="JuHIRoman">
    <w:name w:val="Ju_H_I_Roman"/>
    <w:basedOn w:val="2"/>
    <w:next w:val="a"/>
    <w:uiPriority w:val="17"/>
    <w:qFormat/>
    <w:pPr>
      <w:numPr>
        <w:ilvl w:val="1"/>
        <w:numId w:val="2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 w:line="240" w:lineRule="auto"/>
      <w:jc w:val="both"/>
    </w:pPr>
    <w:rPr>
      <w:rFonts w:ascii="Times New Roman" w:eastAsia="MS Gothic" w:hAnsi="Times New Roman" w:cs="Times New Roman"/>
      <w:b w:val="0"/>
      <w:caps/>
      <w:color w:val="auto"/>
      <w:sz w:val="24"/>
      <w:lang w:val="en-GB"/>
    </w:rPr>
  </w:style>
  <w:style w:type="paragraph" w:customStyle="1" w:styleId="JuHA">
    <w:name w:val="Ju_H_A"/>
    <w:basedOn w:val="3"/>
    <w:next w:val="a"/>
    <w:uiPriority w:val="17"/>
    <w:qFormat/>
    <w:pPr>
      <w:numPr>
        <w:ilvl w:val="2"/>
        <w:numId w:val="2"/>
      </w:numPr>
      <w:spacing w:before="100" w:beforeAutospacing="1" w:after="240" w:line="240" w:lineRule="auto"/>
      <w:jc w:val="both"/>
    </w:pPr>
    <w:rPr>
      <w:rFonts w:ascii="Times New Roman" w:eastAsia="MS Gothic" w:hAnsi="Times New Roman" w:cs="Times New Roman"/>
      <w:color w:val="auto"/>
      <w:sz w:val="24"/>
      <w:lang w:val="en-GB"/>
    </w:rPr>
  </w:style>
  <w:style w:type="paragraph" w:customStyle="1" w:styleId="JuH1">
    <w:name w:val="Ju_H_1."/>
    <w:basedOn w:val="4"/>
    <w:next w:val="a"/>
    <w:uiPriority w:val="17"/>
    <w:pPr>
      <w:numPr>
        <w:ilvl w:val="3"/>
        <w:numId w:val="2"/>
      </w:numPr>
      <w:spacing w:before="100" w:beforeAutospacing="1" w:after="120" w:line="240" w:lineRule="auto"/>
      <w:jc w:val="both"/>
    </w:pPr>
    <w:rPr>
      <w:rFonts w:ascii="Times New Roman" w:eastAsia="MS Gothic" w:hAnsi="Times New Roman" w:cs="Times New Roman"/>
      <w:b w:val="0"/>
      <w:color w:val="auto"/>
      <w:sz w:val="24"/>
      <w:lang w:val="en-GB"/>
    </w:rPr>
  </w:style>
  <w:style w:type="paragraph" w:customStyle="1" w:styleId="JuHa0">
    <w:name w:val="Ju_H_a"/>
    <w:basedOn w:val="5"/>
    <w:next w:val="a"/>
    <w:uiPriority w:val="17"/>
    <w:pPr>
      <w:numPr>
        <w:ilvl w:val="4"/>
        <w:numId w:val="2"/>
      </w:numPr>
      <w:spacing w:before="100" w:beforeAutospacing="1" w:after="120" w:line="240" w:lineRule="auto"/>
      <w:jc w:val="both"/>
    </w:pPr>
    <w:rPr>
      <w:rFonts w:ascii="Times New Roman" w:eastAsia="MS Gothic" w:hAnsi="Times New Roman" w:cs="Times New Roman"/>
      <w:b/>
      <w:bCs/>
      <w:color w:val="auto"/>
      <w:sz w:val="20"/>
      <w:lang w:val="en-GB"/>
    </w:rPr>
  </w:style>
  <w:style w:type="paragraph" w:customStyle="1" w:styleId="JuHi">
    <w:name w:val="Ju_H_i"/>
    <w:basedOn w:val="6"/>
    <w:next w:val="a"/>
    <w:uiPriority w:val="17"/>
    <w:pPr>
      <w:numPr>
        <w:ilvl w:val="5"/>
        <w:numId w:val="2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 w:line="271" w:lineRule="auto"/>
      <w:jc w:val="both"/>
    </w:pPr>
    <w:rPr>
      <w:rFonts w:ascii="Times New Roman" w:eastAsia="MS Gothic" w:hAnsi="Times New Roman" w:cs="Times New Roman"/>
      <w:bCs/>
      <w:color w:val="auto"/>
      <w:sz w:val="20"/>
      <w:lang w:val="en-GB" w:bidi="en-US"/>
    </w:rPr>
  </w:style>
  <w:style w:type="paragraph" w:customStyle="1" w:styleId="JuHalpha">
    <w:name w:val="Ju_H_alpha"/>
    <w:basedOn w:val="7"/>
    <w:next w:val="a"/>
    <w:uiPriority w:val="17"/>
    <w:pPr>
      <w:numPr>
        <w:ilvl w:val="6"/>
        <w:numId w:val="2"/>
      </w:numPr>
      <w:tabs>
        <w:tab w:val="left" w:pos="1361"/>
      </w:tabs>
      <w:spacing w:before="100" w:beforeAutospacing="1" w:after="120" w:line="240" w:lineRule="auto"/>
      <w:jc w:val="both"/>
    </w:pPr>
    <w:rPr>
      <w:rFonts w:ascii="Times New Roman" w:eastAsia="MS Gothic" w:hAnsi="Times New Roman" w:cs="Times New Roman"/>
      <w:i w:val="0"/>
      <w:color w:val="auto"/>
      <w:sz w:val="20"/>
      <w:lang w:val="en-GB" w:bidi="en-US"/>
    </w:rPr>
  </w:style>
  <w:style w:type="paragraph" w:customStyle="1" w:styleId="JuH">
    <w:name w:val="Ju_H_–"/>
    <w:basedOn w:val="8"/>
    <w:next w:val="a"/>
    <w:uiPriority w:val="17"/>
    <w:pPr>
      <w:numPr>
        <w:ilvl w:val="7"/>
        <w:numId w:val="2"/>
      </w:numPr>
      <w:spacing w:before="100" w:beforeAutospacing="1" w:after="120" w:line="240" w:lineRule="auto"/>
      <w:jc w:val="both"/>
    </w:pPr>
    <w:rPr>
      <w:rFonts w:ascii="Times New Roman" w:eastAsia="MS Gothic" w:hAnsi="Times New Roman" w:cs="Times New Roman"/>
      <w:i/>
      <w:color w:val="auto"/>
      <w:lang w:val="en-GB" w:bidi="en-US"/>
    </w:rPr>
  </w:style>
  <w:style w:type="paragraph" w:customStyle="1" w:styleId="ECHRHeading9">
    <w:name w:val="ECHR_Heading_9"/>
    <w:basedOn w:val="9"/>
    <w:uiPriority w:val="17"/>
    <w:semiHidden/>
    <w:pPr>
      <w:numPr>
        <w:ilvl w:val="8"/>
        <w:numId w:val="2"/>
      </w:numPr>
      <w:spacing w:before="100" w:beforeAutospacing="1" w:line="240" w:lineRule="auto"/>
      <w:contextualSpacing/>
      <w:jc w:val="both"/>
    </w:pPr>
    <w:rPr>
      <w:rFonts w:ascii="Times New Roman" w:eastAsia="MS Gothic" w:hAnsi="Times New Roman" w:cs="Times New Roman"/>
      <w:i w:val="0"/>
      <w:color w:val="auto"/>
      <w:spacing w:val="5"/>
      <w:sz w:val="18"/>
      <w:lang w:val="en-GB" w:bidi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68f5eaef">
    <w:name w:val="s68f5eaef"/>
    <w:basedOn w:val="a0"/>
  </w:style>
  <w:style w:type="character" w:customStyle="1" w:styleId="sbc73225d">
    <w:name w:val="sbc73225d"/>
    <w:basedOn w:val="a0"/>
  </w:style>
  <w:style w:type="character" w:customStyle="1" w:styleId="sb8d990e2">
    <w:name w:val="sb8d990e2"/>
    <w:basedOn w:val="a0"/>
    <w:qFormat/>
  </w:style>
  <w:style w:type="character" w:customStyle="1" w:styleId="s9776b88b">
    <w:name w:val="s9776b88b"/>
    <w:basedOn w:val="a0"/>
    <w:qFormat/>
  </w:style>
  <w:style w:type="numbering" w:styleId="1ai">
    <w:name w:val="Outline List 1"/>
    <w:basedOn w:val="a2"/>
    <w:uiPriority w:val="99"/>
    <w:semiHidden/>
    <w:unhideWhenUsed/>
    <w:pPr>
      <w:numPr>
        <w:numId w:val="5"/>
      </w:numPr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Calibri" w:eastAsia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C7A95-5C90-4803-AE65-545E19B5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2339</Words>
  <Characters>1334</Characters>
  <Application>Microsoft Office Word</Application>
  <DocSecurity>0</DocSecurity>
  <Lines>11</Lines>
  <Paragraphs>7</Paragraphs>
  <ScaleCrop>false</ScaleCrop>
  <Company>*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Геннадий Геннадий</cp:lastModifiedBy>
  <cp:revision>2</cp:revision>
  <dcterms:created xsi:type="dcterms:W3CDTF">2023-03-24T12:42:00Z</dcterms:created>
  <dcterms:modified xsi:type="dcterms:W3CDTF">2023-03-24T12:42:00Z</dcterms:modified>
</cp:coreProperties>
</file>