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729B" w14:textId="77777777" w:rsidR="009D437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ЄВРОПЕЙСЬКИЙ СУД З ПРАВ ЛЮДИНИ</w:t>
      </w:r>
    </w:p>
    <w:p w14:paraId="57FEA901" w14:textId="77777777" w:rsidR="009D437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СПРАВА «БАБІН ПРОТИ УКРАЇНИ»</w:t>
      </w:r>
    </w:p>
    <w:p w14:paraId="5FA67F93" w14:textId="77777777" w:rsidR="009D437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(CASE OF BABIN v. UKRAINE)</w:t>
      </w:r>
    </w:p>
    <w:p w14:paraId="1179200B" w14:textId="77777777" w:rsidR="009D437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(Заява № 9245/19 та 2 інші заяви)</w:t>
      </w:r>
    </w:p>
    <w:p w14:paraId="6ECF0036" w14:textId="77777777" w:rsidR="009D437C" w:rsidRDefault="009D4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16481CFE" w14:textId="77777777" w:rsidR="009D437C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Стислий виклад рішення від 09 лютого 2023 року</w:t>
      </w:r>
    </w:p>
    <w:p w14:paraId="678CFC09" w14:textId="77777777" w:rsidR="009D437C" w:rsidRDefault="009D43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26ADD537" w14:textId="77777777" w:rsidR="009D437C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тримався під вартою в державній установі «Київський слідчий ізолятор».</w:t>
      </w:r>
    </w:p>
    <w:p w14:paraId="75D960B1" w14:textId="77777777" w:rsidR="009D437C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Європейського суду з прав людини (далі – Європейський суд) заявник скаржився за статтями 3 і 13 Конвенції про захист прав людини і основоположних свобод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(далі – Конвенція) на неналежні умови тримання його під вартою та відсутність у нього ефективного засобу юридичного захисту у зв’язку з цим. Також заявник подав інші скарги, які порушували питання за Конвенцією з огляду на відповідну усталену практику Європейського суду.</w:t>
      </w:r>
    </w:p>
    <w:p w14:paraId="2F5F4B9B" w14:textId="77777777" w:rsidR="009D437C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Розглянувши скарги заявника, Європейський суд нагадав, що під час встановлення, чи є умови тримання такими, «що принижують гідність» у розумінні статті 3 Конвенції, серйозний брак простору у в’язничних камерах вважається дуже впливовим чинником та може становити порушення як сам собою, так і в сукупності з іншими недоліками. Посилаючись на свою попередню практику у справах проти України, Європейський суд дійшов висновку, що у цій справі умови тримання заявника під вартою були неналежними, а також, що заявник не мав у своєму розпорядженні ефективного засобу юридичного захисту та констатував порушення статей 3 і 13 Конвенції.</w:t>
      </w:r>
    </w:p>
    <w:p w14:paraId="75E442F6" w14:textId="77777777" w:rsidR="009D437C" w:rsidRDefault="0000000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решти скарг заявника Європейський суд, посилаючись на свою попередню практику, встановив, що вони також свідчать про порушення положень Конвенції.</w:t>
      </w:r>
    </w:p>
    <w:p w14:paraId="50E9C669" w14:textId="77777777" w:rsidR="009D437C" w:rsidRDefault="00000000">
      <w:pPr>
        <w:keepNext/>
        <w:keepLines/>
        <w:spacing w:before="100" w:beforeAutospacing="1" w:after="240" w:line="240" w:lineRule="auto"/>
        <w:jc w:val="both"/>
        <w:outlineLvl w:val="0"/>
        <w:rPr>
          <w:rFonts w:ascii="Times New Roman" w:eastAsia="MS Gothic" w:hAnsi="Times New Roman" w:cs="Times New Roman"/>
          <w:bCs/>
          <w:caps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bCs/>
          <w:caps/>
          <w:sz w:val="28"/>
          <w:szCs w:val="28"/>
          <w:lang w:val="uk-UA"/>
        </w:rPr>
        <w:t>ЗА ЦИХ ПІДСТАВ СУД ОДНОГОЛОСНО</w:t>
      </w:r>
    </w:p>
    <w:p w14:paraId="336D8B7A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«1.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Вирішує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об’єднати заяви;</w:t>
      </w:r>
    </w:p>
    <w:p w14:paraId="0C8C9F4A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Оголошує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заяви прийнятними;</w:t>
      </w:r>
    </w:p>
    <w:p w14:paraId="09C796CE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ці заяви свідчать про порушення статей 3 і 13 Конвенції у зв’язку з неналежними умовами тримання під вартою та відсутністю у національному законодавстві ефективного засобу юридичного захисту;</w:t>
      </w:r>
    </w:p>
    <w:p w14:paraId="48F103CC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було порушено Конвенцію у зв’язку з іншими скаргами, висунутими за усталеною практикою Суду (див. таблицю у додатку);</w:t>
      </w:r>
    </w:p>
    <w:p w14:paraId="612B9454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  <w:t xml:space="preserve">Постановляє,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що:</w:t>
      </w:r>
    </w:p>
    <w:p w14:paraId="5FE657F2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(a)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упродовж трьох місяців держава-відповідач повинна сплатити заявнику суми, зазначені у таблиці в додатку; ці суми мають бути конвертовані в національну валюту держави-відповідача за курсом на день здійснення платежу;</w:t>
      </w:r>
    </w:p>
    <w:p w14:paraId="22C8BB4E" w14:textId="77777777" w:rsidR="009D437C" w:rsidRDefault="00000000">
      <w:pPr>
        <w:numPr>
          <w:ilvl w:val="255"/>
          <w:numId w:val="0"/>
        </w:numPr>
        <w:tabs>
          <w:tab w:val="left" w:pos="340"/>
        </w:tabs>
        <w:spacing w:before="28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simple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пункти».</w:t>
      </w:r>
    </w:p>
    <w:p w14:paraId="09C65164" w14:textId="77777777" w:rsidR="009D437C" w:rsidRDefault="009D437C">
      <w:pPr>
        <w:rPr>
          <w:lang w:val="uk-UA"/>
        </w:rPr>
      </w:pPr>
    </w:p>
    <w:sectPr w:rsidR="009D4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031C" w14:textId="77777777" w:rsidR="009F36DB" w:rsidRDefault="009F36DB">
      <w:pPr>
        <w:spacing w:line="240" w:lineRule="auto"/>
      </w:pPr>
      <w:r>
        <w:separator/>
      </w:r>
    </w:p>
  </w:endnote>
  <w:endnote w:type="continuationSeparator" w:id="0">
    <w:p w14:paraId="125737F1" w14:textId="77777777" w:rsidR="009F36DB" w:rsidRDefault="009F3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MS Gothic">
    <w:altName w:val="ＭＳ ゴシック"/>
    <w:panose1 w:val="020B060907020508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1103" w14:textId="77777777" w:rsidR="009F36DB" w:rsidRDefault="009F36DB">
      <w:pPr>
        <w:spacing w:after="0"/>
      </w:pPr>
      <w:r>
        <w:separator/>
      </w:r>
    </w:p>
  </w:footnote>
  <w:footnote w:type="continuationSeparator" w:id="0">
    <w:p w14:paraId="6C81F8F2" w14:textId="77777777" w:rsidR="009F36DB" w:rsidRDefault="009F36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F60"/>
    <w:multiLevelType w:val="hybridMultilevel"/>
    <w:tmpl w:val="C144EF0A"/>
    <w:lvl w:ilvl="0" w:tplc="FF5E79E6">
      <w:start w:val="1"/>
      <w:numFmt w:val="decimal"/>
      <w:lvlText w:val="%1."/>
      <w:lvlJc w:val="left"/>
      <w:pPr>
        <w:ind w:left="720" w:hanging="360"/>
      </w:pPr>
    </w:lvl>
    <w:lvl w:ilvl="1" w:tplc="02F4B70E">
      <w:start w:val="1"/>
      <w:numFmt w:val="lowerLetter"/>
      <w:lvlText w:val="%2."/>
      <w:lvlJc w:val="left"/>
      <w:pPr>
        <w:ind w:left="1440" w:hanging="360"/>
      </w:pPr>
    </w:lvl>
    <w:lvl w:ilvl="2" w:tplc="05783EE6">
      <w:start w:val="1"/>
      <w:numFmt w:val="lowerRoman"/>
      <w:lvlText w:val="%3."/>
      <w:lvlJc w:val="right"/>
      <w:pPr>
        <w:ind w:left="2160" w:hanging="180"/>
      </w:pPr>
    </w:lvl>
    <w:lvl w:ilvl="3" w:tplc="8FC63682">
      <w:start w:val="1"/>
      <w:numFmt w:val="decimal"/>
      <w:lvlText w:val="%4."/>
      <w:lvlJc w:val="left"/>
      <w:pPr>
        <w:ind w:left="2880" w:hanging="360"/>
      </w:pPr>
    </w:lvl>
    <w:lvl w:ilvl="4" w:tplc="A9662E6C">
      <w:start w:val="1"/>
      <w:numFmt w:val="lowerLetter"/>
      <w:lvlText w:val="%5."/>
      <w:lvlJc w:val="left"/>
      <w:pPr>
        <w:ind w:left="3600" w:hanging="360"/>
      </w:pPr>
    </w:lvl>
    <w:lvl w:ilvl="5" w:tplc="507033C0">
      <w:start w:val="1"/>
      <w:numFmt w:val="lowerRoman"/>
      <w:lvlText w:val="%6."/>
      <w:lvlJc w:val="right"/>
      <w:pPr>
        <w:ind w:left="4320" w:hanging="180"/>
      </w:pPr>
    </w:lvl>
    <w:lvl w:ilvl="6" w:tplc="B7E0848A">
      <w:start w:val="1"/>
      <w:numFmt w:val="decimal"/>
      <w:lvlText w:val="%7."/>
      <w:lvlJc w:val="left"/>
      <w:pPr>
        <w:ind w:left="5040" w:hanging="360"/>
      </w:pPr>
    </w:lvl>
    <w:lvl w:ilvl="7" w:tplc="2884B91A">
      <w:start w:val="1"/>
      <w:numFmt w:val="lowerLetter"/>
      <w:lvlText w:val="%8."/>
      <w:lvlJc w:val="left"/>
      <w:pPr>
        <w:ind w:left="5760" w:hanging="360"/>
      </w:pPr>
    </w:lvl>
    <w:lvl w:ilvl="8" w:tplc="A7BC89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E78"/>
    <w:multiLevelType w:val="hybridMultilevel"/>
    <w:tmpl w:val="89888C9E"/>
    <w:lvl w:ilvl="0" w:tplc="F02C519C">
      <w:start w:val="2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 w:tplc="3642FA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D2C3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D228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140E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9C47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8C8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F26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9E29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6D37058"/>
    <w:multiLevelType w:val="hybridMultilevel"/>
    <w:tmpl w:val="6F28D8EE"/>
    <w:lvl w:ilvl="0" w:tplc="A962C47A">
      <w:start w:val="1"/>
      <w:numFmt w:val="lowerLetter"/>
      <w:lvlText w:val="(%1)"/>
      <w:lvlJc w:val="left"/>
      <w:pPr>
        <w:ind w:left="1060" w:hanging="360"/>
      </w:pPr>
      <w:rPr>
        <w:rFonts w:hint="default"/>
      </w:rPr>
    </w:lvl>
    <w:lvl w:ilvl="1" w:tplc="2B70DB46">
      <w:start w:val="1"/>
      <w:numFmt w:val="lowerLetter"/>
      <w:lvlText w:val="%2."/>
      <w:lvlJc w:val="left"/>
      <w:pPr>
        <w:ind w:left="1780" w:hanging="360"/>
      </w:pPr>
    </w:lvl>
    <w:lvl w:ilvl="2" w:tplc="9D9CD7D6">
      <w:start w:val="1"/>
      <w:numFmt w:val="lowerRoman"/>
      <w:lvlText w:val="%3."/>
      <w:lvlJc w:val="right"/>
      <w:pPr>
        <w:ind w:left="2500" w:hanging="180"/>
      </w:pPr>
    </w:lvl>
    <w:lvl w:ilvl="3" w:tplc="B52C0392">
      <w:start w:val="1"/>
      <w:numFmt w:val="decimal"/>
      <w:lvlText w:val="%4."/>
      <w:lvlJc w:val="left"/>
      <w:pPr>
        <w:ind w:left="3220" w:hanging="360"/>
      </w:pPr>
    </w:lvl>
    <w:lvl w:ilvl="4" w:tplc="5A96B10E">
      <w:start w:val="1"/>
      <w:numFmt w:val="lowerLetter"/>
      <w:lvlText w:val="%5."/>
      <w:lvlJc w:val="left"/>
      <w:pPr>
        <w:ind w:left="3940" w:hanging="360"/>
      </w:pPr>
    </w:lvl>
    <w:lvl w:ilvl="5" w:tplc="FECC5FCA">
      <w:start w:val="1"/>
      <w:numFmt w:val="lowerRoman"/>
      <w:lvlText w:val="%6."/>
      <w:lvlJc w:val="right"/>
      <w:pPr>
        <w:ind w:left="4660" w:hanging="180"/>
      </w:pPr>
    </w:lvl>
    <w:lvl w:ilvl="6" w:tplc="5F82915C">
      <w:start w:val="1"/>
      <w:numFmt w:val="decimal"/>
      <w:lvlText w:val="%7."/>
      <w:lvlJc w:val="left"/>
      <w:pPr>
        <w:ind w:left="5380" w:hanging="360"/>
      </w:pPr>
    </w:lvl>
    <w:lvl w:ilvl="7" w:tplc="F05A3418">
      <w:start w:val="1"/>
      <w:numFmt w:val="lowerLetter"/>
      <w:lvlText w:val="%8."/>
      <w:lvlJc w:val="left"/>
      <w:pPr>
        <w:ind w:left="6100" w:hanging="360"/>
      </w:pPr>
    </w:lvl>
    <w:lvl w:ilvl="8" w:tplc="FB22D5F6">
      <w:start w:val="1"/>
      <w:numFmt w:val="lowerRoman"/>
      <w:lvlText w:val="%9."/>
      <w:lvlJc w:val="right"/>
      <w:pPr>
        <w:ind w:left="6820" w:hanging="180"/>
      </w:pPr>
    </w:lvl>
  </w:abstractNum>
  <w:num w:numId="1" w16cid:durableId="747727123">
    <w:abstractNumId w:val="0"/>
  </w:num>
  <w:num w:numId="2" w16cid:durableId="739016045">
    <w:abstractNumId w:val="1"/>
  </w:num>
  <w:num w:numId="3" w16cid:durableId="1491748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7C"/>
    <w:rsid w:val="00875542"/>
    <w:rsid w:val="009D437C"/>
    <w:rsid w:val="009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AE88"/>
  <w15:docId w15:val="{14BB5010-0D30-4180-BB85-E0088DB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Геннадий Геннадий</cp:lastModifiedBy>
  <cp:revision>2</cp:revision>
  <dcterms:created xsi:type="dcterms:W3CDTF">2023-03-23T08:54:00Z</dcterms:created>
  <dcterms:modified xsi:type="dcterms:W3CDTF">2023-03-23T08:54:00Z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AE93FE296934427682B5CF1CB7D8F9F9</vt:lpwstr>
  </property>
</Properties>
</file>