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971A" w14:textId="77777777" w:rsidR="00F17116" w:rsidRDefault="00E02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ЄВРОПЕЙСЬКИЙ СУД З ПРАВ ЛЮДИНИ</w:t>
      </w:r>
    </w:p>
    <w:p w14:paraId="41B67AD1" w14:textId="77777777" w:rsidR="00F17116" w:rsidRDefault="00E02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СПРАВА «</w:t>
      </w:r>
      <w:r>
        <w:rPr>
          <w:rFonts w:ascii="Times New Roman" w:hAnsi="Times New Roman" w:cs="Times New Roman"/>
          <w:b/>
          <w:sz w:val="24"/>
          <w:szCs w:val="24"/>
        </w:rPr>
        <w:t>ДЕМИДЕЦЬКИЙ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ПРОТИ УКРАЇНИ»</w:t>
      </w:r>
    </w:p>
    <w:p w14:paraId="10926A83" w14:textId="77777777" w:rsidR="00F17116" w:rsidRDefault="00E02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(CASE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DEMIDETSKIY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v. UKRAINE)</w:t>
      </w:r>
    </w:p>
    <w:p w14:paraId="5C0CDB1C" w14:textId="77777777" w:rsidR="00F17116" w:rsidRDefault="00E02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(Заяв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50829/09)</w:t>
      </w:r>
    </w:p>
    <w:p w14:paraId="743EB1DC" w14:textId="77777777" w:rsidR="00F17116" w:rsidRDefault="00F1711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14:paraId="243A4C52" w14:textId="77777777" w:rsidR="00F17116" w:rsidRDefault="00E02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Стислий виклад рішення від 06 жовтня 2022 року</w:t>
      </w:r>
    </w:p>
    <w:p w14:paraId="6B8EA1F4" w14:textId="77777777" w:rsidR="00F17116" w:rsidRDefault="00F1711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14:paraId="59E8085F" w14:textId="77777777" w:rsidR="00F17116" w:rsidRDefault="00E02F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липні 2005 року заявника протягом трьох діб тримали у відділі міліції, де згідно з </w:t>
      </w:r>
      <w:r>
        <w:rPr>
          <w:rFonts w:ascii="Times New Roman" w:hAnsi="Times New Roman" w:cs="Times New Roman"/>
          <w:sz w:val="24"/>
          <w:szCs w:val="24"/>
          <w:lang w:val="uk-UA"/>
        </w:rPr>
        <w:t>твердженнями заявника, різні працівники міліції жорстоко з ним поводилися з метою змусити заявника зізнатися у злочинах, у вчиненні яких його підозрювали. У медичних документах було  зафіксовано наявність різних ушкоджень на тілі заявника.</w:t>
      </w:r>
    </w:p>
    <w:p w14:paraId="359612BB" w14:textId="77777777" w:rsidR="00F17116" w:rsidRDefault="00E02F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період із серпня 2005 року до червня 2017 року проводилися численні повторні розслідування поданих заявником скарг на жорстоке поводження працівників міліції. Національні суди критикували розслідування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 зв’язку з тим, що прокуратура не встановила причину виникнення тілесних ушкоджень заявника. Зрештою, постановою, яка не оскаржувалася, прокуратура закрила провадження, встановивши, що хоча описані у відповідних медичних документах тілесні ушкодження заявника могли утворитися у період коли він знаходився у відділі міліції, не існувало доказів нанесення їх працівниками міліції, на твердженнях яких, головним чином, ґрунтувався цей висновок.</w:t>
      </w:r>
    </w:p>
    <w:p w14:paraId="59597130" w14:textId="77777777" w:rsidR="00F17116" w:rsidRDefault="00E02F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лютому 2011 року Донецький апеляційний суд ухвалив вирок щодо заявника та обрав йому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покарання у виді довічного позбавлення волі. Вищий спеціалізований суд України з розгляду цивільних і кримінальних справ провів засідання за касаційними скаргами сторін, на якому не був присутній заявник, а жоден захисник не представляв його інтереси, та залишив вирок без змін.</w:t>
      </w:r>
    </w:p>
    <w:p w14:paraId="575835CC" w14:textId="77777777" w:rsidR="00E02F9B" w:rsidRDefault="00E02F9B" w:rsidP="00E02F9B">
      <w:pPr>
        <w:pStyle w:val="JuPara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 Європейського суду з прав людини (далі – Європейський суд) заявник скаржився за статтею 3 Конвенції про захист прав людини і основоположних свобод (далі – Конвенція), що він був підданий жорстокому поводженню працівниками міліції та не було проведено ефективного розслідування у зв’язку з цим; за пунктом 1 статті 6 Конвенції на надмірну тривалість кримінального провадження щодо нього;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підпунктом «с» пункту 3 статті 6 Конвенції у поєднанні з пунктом 1 статті 6 Конвенції на те, що Вищий спеціалізований суд України з розгляду цивільних і кримінальних справ проігнорував його клопотання про надання безоплатної правової допомоги під час розгляду провадження у касаційному суді; за статтею 6 Конвенції, що визнання його винним ґрунтувалося на його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зізнавальних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показаннях, отриманих внаслідок жорстокого поводження працівників міліції.</w:t>
      </w:r>
    </w:p>
    <w:p w14:paraId="6E14BA82" w14:textId="77777777" w:rsidR="00F17116" w:rsidRPr="00E02F9B" w:rsidRDefault="00E02F9B" w:rsidP="00E02F9B">
      <w:pPr>
        <w:pStyle w:val="JuPar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скарги заявника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Європейський суд зауважив, що проведені на національному рівні розслідування не свідчили про серйозні спроби встановити відповідні факти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жорстокого поводження працівників міліції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і, зокрема, встановити походження тілесних ушкоджень заявника.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Посилаючись на рішення</w:t>
      </w:r>
      <w:r>
        <w:rPr>
          <w:rStyle w:val="s68f5eaef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у справі «</w:t>
      </w:r>
      <w:proofErr w:type="spellStart"/>
      <w:r>
        <w:rPr>
          <w:rStyle w:val="s68f5eaef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Каверзін</w:t>
      </w:r>
      <w:proofErr w:type="spellEnd"/>
      <w:r>
        <w:rPr>
          <w:rStyle w:val="s68f5eaef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проти України» Європейський суд встановив, що</w:t>
      </w: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uk-UA"/>
        </w:rPr>
        <w:t xml:space="preserve"> ця справа є ще одним таким прикладом </w:t>
      </w:r>
      <w:proofErr w:type="spellStart"/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uk-UA"/>
        </w:rPr>
        <w:t>непроведення</w:t>
      </w:r>
      <w:proofErr w:type="spellEnd"/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uk-UA"/>
        </w:rPr>
        <w:t xml:space="preserve"> оперативного та ретельного розслідування.</w:t>
      </w:r>
    </w:p>
    <w:p w14:paraId="2C44008B" w14:textId="77777777" w:rsidR="00F17116" w:rsidRDefault="00E02F9B" w:rsidP="00E02F9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Європейський суд дійшов висновку, що скарги заявника свідчать про порушення як процесуального, так і матеріального аспектів статті 3 Конвенції у зв’язку зі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стверджуваним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жорстоким поводженням із заявником.</w:t>
      </w:r>
    </w:p>
    <w:p w14:paraId="47D59CF4" w14:textId="77777777" w:rsidR="00F17116" w:rsidRDefault="00E02F9B" w:rsidP="00E02F9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Щодо інших скарг заявника Європейський суд, з огляду на факти справи, доводи сторін і попередні висновки, вказав, що він розглянув основні юридичні питання, порушені в цій заяві, й немає потреби окремо розглядати питання прийнятності та суть цих скарг.</w:t>
      </w:r>
    </w:p>
    <w:p w14:paraId="68F308EA" w14:textId="77777777" w:rsidR="00F17116" w:rsidRDefault="00E02F9B" w:rsidP="00E02F9B">
      <w:pPr>
        <w:pStyle w:val="JuPara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Скаргу заявника про те, що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визнання його винним ґрунтувалося на його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зізнавальних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показаннях, отриманих внаслідок жорстокого поводження працівників міліції Європейський суд відхилив на підставі пунктів 1 і 4 статті 35 Конвенції.</w:t>
      </w:r>
    </w:p>
    <w:p w14:paraId="4EA9F5C3" w14:textId="77777777" w:rsidR="00F17116" w:rsidRDefault="00F17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946243C" w14:textId="77777777" w:rsidR="00F17116" w:rsidRDefault="00E0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ЦИХ ПІДСТАВ СУД ОДНОГОЛОСНО</w:t>
      </w:r>
    </w:p>
    <w:p w14:paraId="42E90F4D" w14:textId="77777777" w:rsidR="00F17116" w:rsidRDefault="00E02F9B">
      <w:pPr>
        <w:pStyle w:val="JuList"/>
        <w:numPr>
          <w:ilvl w:val="0"/>
          <w:numId w:val="0"/>
        </w:numPr>
        <w:spacing w:before="0" w:after="0"/>
        <w:ind w:left="340" w:hanging="340"/>
        <w:rPr>
          <w:rFonts w:ascii="Times New Roman" w:hAnsi="Times New Roman" w:cs="Times New Roman"/>
          <w:lang w:val="uk-UA"/>
        </w:rPr>
      </w:pPr>
      <w:r>
        <w:rPr>
          <w:rStyle w:val="ECHRParaChar"/>
          <w:rFonts w:ascii="Times New Roman" w:hAnsi="Times New Roman" w:cs="Times New Roman"/>
          <w:i/>
          <w:szCs w:val="24"/>
          <w:lang w:val="uk-UA"/>
        </w:rPr>
        <w:t>«</w:t>
      </w:r>
      <w:r>
        <w:rPr>
          <w:rStyle w:val="ECHRParaChar"/>
          <w:rFonts w:ascii="Times New Roman" w:hAnsi="Times New Roman" w:cs="Times New Roman"/>
          <w:iCs/>
          <w:szCs w:val="24"/>
          <w:lang w:val="uk-UA"/>
        </w:rPr>
        <w:t>1</w:t>
      </w:r>
      <w:r>
        <w:rPr>
          <w:rStyle w:val="ECHRParaChar"/>
          <w:rFonts w:ascii="Times New Roman" w:hAnsi="Times New Roman" w:cs="Times New Roman"/>
          <w:i/>
          <w:szCs w:val="24"/>
          <w:lang w:val="uk-UA"/>
        </w:rPr>
        <w:t>.</w:t>
      </w:r>
      <w:r>
        <w:rPr>
          <w:rFonts w:ascii="Times New Roman" w:hAnsi="Times New Roman" w:cs="Times New Roman"/>
          <w:i/>
          <w:lang w:val="uk-UA"/>
        </w:rPr>
        <w:t xml:space="preserve"> Оголошує </w:t>
      </w:r>
      <w:r>
        <w:rPr>
          <w:rFonts w:ascii="Times New Roman" w:hAnsi="Times New Roman" w:cs="Times New Roman"/>
          <w:lang w:val="uk-UA"/>
        </w:rPr>
        <w:t xml:space="preserve">прийнятними скарги за статтею 3 Конвенції на </w:t>
      </w:r>
      <w:proofErr w:type="spellStart"/>
      <w:r>
        <w:rPr>
          <w:rFonts w:ascii="Times New Roman" w:hAnsi="Times New Roman" w:cs="Times New Roman"/>
          <w:lang w:val="uk-UA"/>
        </w:rPr>
        <w:t>стверджуване</w:t>
      </w:r>
      <w:proofErr w:type="spellEnd"/>
      <w:r>
        <w:rPr>
          <w:rFonts w:ascii="Times New Roman" w:hAnsi="Times New Roman" w:cs="Times New Roman"/>
          <w:lang w:val="uk-UA"/>
        </w:rPr>
        <w:t xml:space="preserve"> жорстоке поводження працівників міліції та неефективність розслідування;</w:t>
      </w:r>
    </w:p>
    <w:p w14:paraId="01FCE055" w14:textId="77777777" w:rsidR="00F17116" w:rsidRDefault="00E02F9B">
      <w:pPr>
        <w:pStyle w:val="JuList"/>
        <w:numPr>
          <w:ilvl w:val="0"/>
          <w:numId w:val="0"/>
        </w:numPr>
        <w:spacing w:before="0" w:after="0"/>
        <w:ind w:left="340" w:hanging="340"/>
        <w:rPr>
          <w:rFonts w:ascii="Times New Roman" w:hAnsi="Times New Roman" w:cs="Times New Roman"/>
          <w:lang w:val="uk-UA"/>
        </w:rPr>
      </w:pPr>
      <w:r>
        <w:rPr>
          <w:rStyle w:val="ECHRParaChar"/>
          <w:rFonts w:ascii="Times New Roman" w:hAnsi="Times New Roman" w:cs="Times New Roman"/>
          <w:iCs/>
          <w:szCs w:val="24"/>
          <w:lang w:val="uk-UA"/>
        </w:rPr>
        <w:t>2</w:t>
      </w:r>
      <w:r>
        <w:rPr>
          <w:rStyle w:val="ECHRParaChar"/>
          <w:rFonts w:ascii="Times New Roman" w:hAnsi="Times New Roman" w:cs="Times New Roman"/>
          <w:i/>
          <w:szCs w:val="24"/>
          <w:lang w:val="uk-UA"/>
        </w:rPr>
        <w:t xml:space="preserve">. </w:t>
      </w:r>
      <w:r>
        <w:rPr>
          <w:rFonts w:ascii="Times New Roman" w:hAnsi="Times New Roman" w:cs="Times New Roman"/>
          <w:i/>
          <w:lang w:val="uk-UA"/>
        </w:rPr>
        <w:t xml:space="preserve">Постановляє, </w:t>
      </w:r>
      <w:r>
        <w:rPr>
          <w:rFonts w:ascii="Times New Roman" w:hAnsi="Times New Roman" w:cs="Times New Roman"/>
          <w:lang w:val="uk-UA"/>
        </w:rPr>
        <w:t>що було порушено матеріальний та процесуальний аспекти статті 3 Конвенції;</w:t>
      </w:r>
    </w:p>
    <w:p w14:paraId="5D36CACF" w14:textId="77777777" w:rsidR="00F17116" w:rsidRDefault="00E02F9B">
      <w:pPr>
        <w:pStyle w:val="JuList"/>
        <w:numPr>
          <w:ilvl w:val="0"/>
          <w:numId w:val="0"/>
        </w:numPr>
        <w:spacing w:before="0" w:after="0"/>
        <w:ind w:left="340" w:hanging="340"/>
        <w:rPr>
          <w:rFonts w:ascii="Times New Roman" w:hAnsi="Times New Roman" w:cs="Times New Roman"/>
          <w:lang w:val="uk-UA"/>
        </w:rPr>
      </w:pPr>
      <w:r>
        <w:rPr>
          <w:rStyle w:val="ECHRParaChar"/>
          <w:rFonts w:ascii="Times New Roman" w:hAnsi="Times New Roman" w:cs="Times New Roman"/>
          <w:iCs/>
          <w:szCs w:val="24"/>
          <w:lang w:val="uk-UA"/>
        </w:rPr>
        <w:lastRenderedPageBreak/>
        <w:t>3</w:t>
      </w:r>
      <w:r>
        <w:rPr>
          <w:rStyle w:val="ECHRParaChar"/>
          <w:rFonts w:ascii="Times New Roman" w:hAnsi="Times New Roman" w:cs="Times New Roman"/>
          <w:i/>
          <w:szCs w:val="24"/>
          <w:lang w:val="uk-UA"/>
        </w:rPr>
        <w:t xml:space="preserve">. </w:t>
      </w:r>
      <w:r>
        <w:rPr>
          <w:rFonts w:ascii="Times New Roman" w:hAnsi="Times New Roman" w:cs="Times New Roman"/>
          <w:i/>
          <w:lang w:val="uk-UA"/>
        </w:rPr>
        <w:t xml:space="preserve">Постановляє, </w:t>
      </w:r>
      <w:r>
        <w:rPr>
          <w:rFonts w:ascii="Times New Roman" w:hAnsi="Times New Roman" w:cs="Times New Roman"/>
          <w:lang w:val="uk-UA"/>
        </w:rPr>
        <w:t xml:space="preserve">що немає необхідності розглядати питання прийнятності та суть скарг за пунктом 1 статті 6 Конвенції на тривалість кримінального провадження щодо заявника та за підпунктом «с» пункту 3 статті 6 у поєднанні з пунктом 1 статті 6 Конвенції на </w:t>
      </w:r>
      <w:proofErr w:type="spellStart"/>
      <w:r>
        <w:rPr>
          <w:rFonts w:ascii="Times New Roman" w:hAnsi="Times New Roman" w:cs="Times New Roman"/>
          <w:lang w:val="uk-UA"/>
        </w:rPr>
        <w:t>стверджуване</w:t>
      </w:r>
      <w:proofErr w:type="spellEnd"/>
      <w:r>
        <w:rPr>
          <w:rFonts w:ascii="Times New Roman" w:hAnsi="Times New Roman" w:cs="Times New Roman"/>
          <w:lang w:val="uk-UA"/>
        </w:rPr>
        <w:t xml:space="preserve"> порушення його права на захист під час провадження у касаційному суді;</w:t>
      </w:r>
    </w:p>
    <w:p w14:paraId="1A0F4E4E" w14:textId="77777777" w:rsidR="00F17116" w:rsidRDefault="00E02F9B">
      <w:pPr>
        <w:pStyle w:val="JuList"/>
        <w:numPr>
          <w:ilvl w:val="0"/>
          <w:numId w:val="2"/>
        </w:numPr>
        <w:spacing w:before="0" w:after="0"/>
        <w:ind w:left="284" w:hanging="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 xml:space="preserve">Оголошує </w:t>
      </w:r>
      <w:r>
        <w:rPr>
          <w:rFonts w:ascii="Times New Roman" w:hAnsi="Times New Roman" w:cs="Times New Roman"/>
          <w:iCs/>
          <w:lang w:val="uk-UA"/>
        </w:rPr>
        <w:t>решту скарг у заяві неприйнятними;</w:t>
      </w:r>
    </w:p>
    <w:p w14:paraId="583BCE6A" w14:textId="77777777" w:rsidR="00F17116" w:rsidRDefault="00E02F9B">
      <w:pPr>
        <w:pStyle w:val="JuList"/>
        <w:numPr>
          <w:ilvl w:val="0"/>
          <w:numId w:val="2"/>
        </w:numPr>
        <w:spacing w:before="0" w:after="0"/>
        <w:ind w:left="284" w:hanging="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Постановляє, </w:t>
      </w:r>
      <w:r>
        <w:rPr>
          <w:rFonts w:ascii="Times New Roman" w:hAnsi="Times New Roman" w:cs="Times New Roman"/>
          <w:lang w:val="uk-UA"/>
        </w:rPr>
        <w:t>що:</w:t>
      </w:r>
    </w:p>
    <w:p w14:paraId="096AAEAC" w14:textId="77777777" w:rsidR="00F17116" w:rsidRDefault="00E02F9B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упродовж трьох місяців держава-відповідач повинна сплатити заявнику 15 000 </w:t>
      </w:r>
      <w:r>
        <w:rPr>
          <w:rStyle w:val="sba5e027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(п’ятнадцять тисяч) євро та додатково суму будь-якого податку, що можуть нараховуватися, в якості відшкодування матеріальної шкоди, ця сума має бути конвертована в національну валюту держави-відповідача за курсом на день здійснення платежу;</w:t>
      </w:r>
    </w:p>
    <w:p w14:paraId="5CBBC11E" w14:textId="77777777" w:rsidR="00F17116" w:rsidRDefault="00E02F9B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із закінченням зазначеного тримісячного строку до остаточного розрахунку на зазначені суми нараховуватиметься простий відсоток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simple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interest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розмірі граничної позичкової ставки Європейського центрального банку, яка діятиме в період несплати, до якої має бути додано три відсоткові пункти</w:t>
      </w:r>
      <w:r w:rsidR="005F1E1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9EC846D" w14:textId="77777777" w:rsidR="00F17116" w:rsidRDefault="00E02F9B">
      <w:pPr>
        <w:pStyle w:val="JuList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Style w:val="s9776b88b"/>
          <w:rFonts w:ascii="Times New Roman" w:hAnsi="Times New Roman" w:cs="Times New Roman"/>
          <w:i/>
          <w:iCs/>
          <w:color w:val="000000"/>
          <w:shd w:val="clear" w:color="auto" w:fill="FFFFFF"/>
          <w:lang w:val="uk-UA"/>
        </w:rPr>
        <w:t>Відхиляє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решту вимог заявника щодо справедливої сатисфакції</w:t>
      </w:r>
      <w:r>
        <w:rPr>
          <w:rStyle w:val="ECHRParaChar"/>
          <w:rFonts w:ascii="Times New Roman" w:hAnsi="Times New Roman" w:cs="Times New Roman"/>
          <w:szCs w:val="24"/>
          <w:lang w:val="uk-UA"/>
        </w:rPr>
        <w:t>».</w:t>
      </w:r>
      <w:r>
        <w:rPr>
          <w:rStyle w:val="ECHRParaChar"/>
          <w:rFonts w:ascii="Times New Roman" w:hAnsi="Times New Roman" w:cs="Times New Roman"/>
          <w:i/>
          <w:szCs w:val="24"/>
          <w:lang w:val="uk-UA"/>
        </w:rPr>
        <w:t xml:space="preserve"> </w:t>
      </w:r>
    </w:p>
    <w:p w14:paraId="71A10BFB" w14:textId="77777777" w:rsidR="00F17116" w:rsidRDefault="00F1711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5599D7" w14:textId="77777777" w:rsidR="00F17116" w:rsidRDefault="00F17116">
      <w:pPr>
        <w:rPr>
          <w:lang w:val="uk-UA"/>
        </w:rPr>
      </w:pPr>
    </w:p>
    <w:sectPr w:rsidR="00F17116" w:rsidSect="00C771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DD5C" w14:textId="77777777" w:rsidR="00486A03" w:rsidRDefault="00486A03">
      <w:pPr>
        <w:spacing w:line="240" w:lineRule="auto"/>
      </w:pPr>
      <w:r>
        <w:separator/>
      </w:r>
    </w:p>
  </w:endnote>
  <w:endnote w:type="continuationSeparator" w:id="0">
    <w:p w14:paraId="3600CED9" w14:textId="77777777" w:rsidR="00486A03" w:rsidRDefault="00486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8"/>
    <w:family w:val="auto"/>
    <w:pitch w:val="variable"/>
    <w:sig w:usb0="A10102FF" w:usb1="38CF7CFA" w:usb2="00010016" w:usb3="00000000" w:csb0="001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BAF3" w14:textId="77777777" w:rsidR="00486A03" w:rsidRDefault="00486A03">
      <w:pPr>
        <w:spacing w:after="0"/>
      </w:pPr>
      <w:r>
        <w:separator/>
      </w:r>
    </w:p>
  </w:footnote>
  <w:footnote w:type="continuationSeparator" w:id="0">
    <w:p w14:paraId="6A67B55E" w14:textId="77777777" w:rsidR="00486A03" w:rsidRDefault="00486A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261"/>
    <w:multiLevelType w:val="multilevel"/>
    <w:tmpl w:val="048F2261"/>
    <w:lvl w:ilvl="0">
      <w:start w:val="1"/>
      <w:numFmt w:val="decimal"/>
      <w:pStyle w:val="JuList"/>
      <w:lvlText w:val="%1."/>
      <w:lvlJc w:val="left"/>
      <w:pPr>
        <w:tabs>
          <w:tab w:val="left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left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8DF52E2"/>
    <w:multiLevelType w:val="multilevel"/>
    <w:tmpl w:val="18DF52E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373978">
    <w:abstractNumId w:val="0"/>
  </w:num>
  <w:num w:numId="2" w16cid:durableId="1389113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A9E"/>
    <w:rsid w:val="00071667"/>
    <w:rsid w:val="00072D02"/>
    <w:rsid w:val="0014733C"/>
    <w:rsid w:val="001D77A5"/>
    <w:rsid w:val="002903CE"/>
    <w:rsid w:val="00486A03"/>
    <w:rsid w:val="004B6E4B"/>
    <w:rsid w:val="005A47E6"/>
    <w:rsid w:val="005C6DDD"/>
    <w:rsid w:val="005F1E19"/>
    <w:rsid w:val="006F300A"/>
    <w:rsid w:val="0081497D"/>
    <w:rsid w:val="0091424B"/>
    <w:rsid w:val="00941526"/>
    <w:rsid w:val="00A16A52"/>
    <w:rsid w:val="00B15DBC"/>
    <w:rsid w:val="00B80A9E"/>
    <w:rsid w:val="00B9453F"/>
    <w:rsid w:val="00BF1D54"/>
    <w:rsid w:val="00C771E2"/>
    <w:rsid w:val="00D2219A"/>
    <w:rsid w:val="00D544C1"/>
    <w:rsid w:val="00DF5156"/>
    <w:rsid w:val="00E02F9B"/>
    <w:rsid w:val="00F17116"/>
    <w:rsid w:val="00FC300F"/>
    <w:rsid w:val="00FF49A9"/>
    <w:rsid w:val="265C57A4"/>
    <w:rsid w:val="57B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76AA"/>
  <w15:docId w15:val="{AE677E5B-5FA4-433E-A320-61779F2B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1E2"/>
    <w:pPr>
      <w:spacing w:after="200" w:line="276" w:lineRule="auto"/>
    </w:pPr>
    <w:rPr>
      <w:rFonts w:eastAsiaTheme="minorEastAs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HRPara">
    <w:name w:val="ECHR_Para"/>
    <w:basedOn w:val="a"/>
    <w:link w:val="ECHRParaChar"/>
    <w:uiPriority w:val="12"/>
    <w:qFormat/>
    <w:rsid w:val="00C771E2"/>
    <w:pPr>
      <w:spacing w:after="0" w:line="240" w:lineRule="auto"/>
      <w:ind w:firstLine="284"/>
      <w:jc w:val="both"/>
    </w:pPr>
    <w:rPr>
      <w:sz w:val="24"/>
      <w:lang w:val="en-US" w:eastAsia="en-US"/>
    </w:rPr>
  </w:style>
  <w:style w:type="character" w:customStyle="1" w:styleId="ECHRParaChar">
    <w:name w:val="ECHR_Para Char"/>
    <w:basedOn w:val="a0"/>
    <w:link w:val="ECHRPara"/>
    <w:uiPriority w:val="12"/>
    <w:qFormat/>
    <w:rsid w:val="00C771E2"/>
    <w:rPr>
      <w:rFonts w:eastAsiaTheme="minorEastAsia"/>
      <w:szCs w:val="22"/>
      <w:lang w:val="en-US"/>
    </w:rPr>
  </w:style>
  <w:style w:type="paragraph" w:styleId="a3">
    <w:name w:val="No Spacing"/>
    <w:uiPriority w:val="1"/>
    <w:qFormat/>
    <w:rsid w:val="00C771E2"/>
    <w:rPr>
      <w:rFonts w:eastAsiaTheme="minorEastAsia"/>
      <w:sz w:val="22"/>
      <w:szCs w:val="22"/>
      <w:lang w:val="ru-RU" w:eastAsia="ru-RU"/>
    </w:rPr>
  </w:style>
  <w:style w:type="paragraph" w:customStyle="1" w:styleId="JuList">
    <w:name w:val="Ju_List"/>
    <w:basedOn w:val="a"/>
    <w:uiPriority w:val="23"/>
    <w:qFormat/>
    <w:rsid w:val="00C771E2"/>
    <w:pPr>
      <w:numPr>
        <w:numId w:val="1"/>
      </w:numPr>
      <w:spacing w:before="280" w:after="60" w:line="240" w:lineRule="auto"/>
      <w:jc w:val="both"/>
    </w:pPr>
    <w:rPr>
      <w:rFonts w:eastAsiaTheme="minorHAnsi"/>
      <w:sz w:val="24"/>
      <w:szCs w:val="24"/>
      <w:lang w:val="en-GB" w:eastAsia="en-US"/>
    </w:rPr>
  </w:style>
  <w:style w:type="paragraph" w:customStyle="1" w:styleId="JuListi">
    <w:name w:val="Ju_List_i"/>
    <w:basedOn w:val="a"/>
    <w:uiPriority w:val="23"/>
    <w:qFormat/>
    <w:rsid w:val="00C771E2"/>
    <w:pPr>
      <w:numPr>
        <w:ilvl w:val="2"/>
        <w:numId w:val="1"/>
      </w:numPr>
      <w:spacing w:after="0" w:line="240" w:lineRule="auto"/>
      <w:jc w:val="both"/>
    </w:pPr>
    <w:rPr>
      <w:rFonts w:eastAsiaTheme="minorHAnsi"/>
      <w:sz w:val="24"/>
      <w:szCs w:val="24"/>
      <w:lang w:val="en-GB" w:eastAsia="en-US"/>
    </w:rPr>
  </w:style>
  <w:style w:type="paragraph" w:customStyle="1" w:styleId="JuLista">
    <w:name w:val="Ju_List_a"/>
    <w:basedOn w:val="a"/>
    <w:uiPriority w:val="23"/>
    <w:qFormat/>
    <w:rsid w:val="00C771E2"/>
    <w:pPr>
      <w:numPr>
        <w:ilvl w:val="1"/>
        <w:numId w:val="1"/>
      </w:numPr>
      <w:spacing w:after="0" w:line="240" w:lineRule="auto"/>
      <w:jc w:val="both"/>
    </w:pPr>
    <w:rPr>
      <w:rFonts w:eastAsiaTheme="minorHAnsi"/>
      <w:sz w:val="24"/>
      <w:szCs w:val="24"/>
      <w:lang w:val="en-GB" w:eastAsia="en-US"/>
    </w:rPr>
  </w:style>
  <w:style w:type="character" w:customStyle="1" w:styleId="s68f5eaef">
    <w:name w:val="s68f5eaef"/>
    <w:basedOn w:val="a0"/>
    <w:qFormat/>
    <w:rsid w:val="00C771E2"/>
  </w:style>
  <w:style w:type="character" w:customStyle="1" w:styleId="sbc73225d">
    <w:name w:val="sbc73225d"/>
    <w:basedOn w:val="a0"/>
    <w:qFormat/>
    <w:rsid w:val="00C771E2"/>
  </w:style>
  <w:style w:type="character" w:customStyle="1" w:styleId="sba5e0277">
    <w:name w:val="sba5e0277"/>
    <w:basedOn w:val="a0"/>
    <w:qFormat/>
    <w:rsid w:val="00C771E2"/>
  </w:style>
  <w:style w:type="character" w:customStyle="1" w:styleId="s9776b88b">
    <w:name w:val="s9776b88b"/>
    <w:basedOn w:val="a0"/>
    <w:qFormat/>
    <w:rsid w:val="00C771E2"/>
  </w:style>
  <w:style w:type="paragraph" w:customStyle="1" w:styleId="JuPara">
    <w:name w:val="Ju_Para"/>
    <w:basedOn w:val="NormalJustified"/>
    <w:uiPriority w:val="12"/>
    <w:qFormat/>
    <w:rsid w:val="00C771E2"/>
    <w:pPr>
      <w:ind w:firstLine="284"/>
    </w:pPr>
  </w:style>
  <w:style w:type="paragraph" w:customStyle="1" w:styleId="NormalJustified">
    <w:name w:val="Normal_Justified"/>
    <w:basedOn w:val="a"/>
    <w:semiHidden/>
    <w:qFormat/>
    <w:rsid w:val="00C771E2"/>
    <w:pPr>
      <w:jc w:val="both"/>
    </w:pPr>
  </w:style>
  <w:style w:type="paragraph" w:styleId="a4">
    <w:name w:val="Revision"/>
    <w:hidden/>
    <w:uiPriority w:val="99"/>
    <w:semiHidden/>
    <w:rsid w:val="00E02F9B"/>
    <w:rPr>
      <w:rFonts w:eastAsiaTheme="minorEastAsia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3080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Ignatenko</dc:creator>
  <cp:lastModifiedBy>Геннадий Геннадий</cp:lastModifiedBy>
  <cp:revision>2</cp:revision>
  <dcterms:created xsi:type="dcterms:W3CDTF">2023-02-03T09:46:00Z</dcterms:created>
  <dcterms:modified xsi:type="dcterms:W3CDTF">2023-02-03T09:46:00Z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BDC4F3A4513D4E25AC725387EF228942</vt:lpwstr>
  </property>
</Properties>
</file>