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93" w:rsidRPr="007D0F1A" w:rsidRDefault="00736193" w:rsidP="00736193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Звіт про </w:t>
      </w: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повторне</w:t>
      </w:r>
      <w:r w:rsidRPr="007D0F1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 відстеження результативності</w:t>
      </w:r>
    </w:p>
    <w:p w:rsidR="00736193" w:rsidRPr="007D0F1A" w:rsidRDefault="00736193" w:rsidP="00736193">
      <w:pPr>
        <w:suppressAutoHyphens/>
        <w:autoSpaceDE w:val="0"/>
        <w:autoSpaceDN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постанови Кабінету Міністрів України від 23 січня 2019 року № 46 «Про внесення змін до деяких постанов Кабінету Міністрів України»</w:t>
      </w:r>
    </w:p>
    <w:p w:rsidR="00736193" w:rsidRPr="007D0F1A" w:rsidRDefault="00736193" w:rsidP="007361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736193" w:rsidRPr="007D0F1A" w:rsidRDefault="00736193" w:rsidP="00736193">
      <w:pPr>
        <w:suppressAutoHyphens/>
        <w:spacing w:after="0" w:line="240" w:lineRule="auto"/>
        <w:ind w:firstLine="60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Вид та назва регуляторного акта</w:t>
      </w:r>
    </w:p>
    <w:p w:rsidR="00736193" w:rsidRPr="007D0F1A" w:rsidRDefault="00736193" w:rsidP="00736193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6193" w:rsidRPr="007D0F1A" w:rsidRDefault="00736193" w:rsidP="00736193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Постанова Кабінету Міністрів України від 23 січня 2019 року № 46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7D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 внесення змін до деяких постанов Кабінету Міністрів України»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7D0F1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(далі – регуляторний акт).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 Назва виконавця заходів базового відстеження 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Міністерство внутрішніх справ України.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Цілі прийняття акта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7D0F1A">
        <w:rPr>
          <w:rFonts w:ascii="Times New Roman" w:eastAsia="Times New Roman" w:hAnsi="Times New Roman" w:cs="Times New Roman"/>
          <w:sz w:val="28"/>
          <w:szCs w:val="28"/>
          <w:lang w:eastAsia="ar-SA"/>
        </w:rPr>
        <w:t>етою прийняття регуляторного акта є підвищення якості процедури проведення перевірки технічного стану колісних транспортних засобів, що підлягають обов’язковому технічному контролю, запровадження дієвого механізму державного контролю за проходженням обов’язкового технічного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контролю транспортних засобів та</w:t>
      </w:r>
      <w:r w:rsidRPr="007D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усунення певних прогалин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 чинних</w:t>
      </w:r>
      <w:r w:rsidRPr="007D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нормативно-правових актах, що регулюють проведення обов’язкового технічного контролю транспортних засобів.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Строк виконання заходів із повторного</w:t>
      </w:r>
      <w:r w:rsidRPr="007D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відстеження результативності регуляторного акта</w:t>
      </w:r>
    </w:p>
    <w:p w:rsidR="00736193" w:rsidRDefault="00736193" w:rsidP="00736193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Відповідно до статті 10 Закону України «Про засади державної регуляторної політики у </w:t>
      </w:r>
      <w:r w:rsidR="00CB4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сфері господарської діяльності»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7361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положень, але не пізніше двох років з дня набрання чинності цим актом або більшістю його положень, якщо рішенням регуляторного органу, який прийняв цей регуляторний акт, не встановлено більш ранній строк.</w:t>
      </w:r>
    </w:p>
    <w:p w:rsidR="00736193" w:rsidRPr="007D0F1A" w:rsidRDefault="00736193" w:rsidP="00736193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відстеження результативності акта використовувалися виключно статистичні дані,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повторне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відстеження результативності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регуляторного акта 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здійснювалося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травня 2021 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B4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01 травня  2022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року.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5. Тип відстеження </w:t>
      </w:r>
    </w:p>
    <w:p w:rsidR="00736193" w:rsidRPr="007D0F1A" w:rsidRDefault="00736193" w:rsidP="00736193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Повторне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відстеження результативності акта.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Методи одержання результатів відстеження</w:t>
      </w:r>
    </w:p>
    <w:p w:rsidR="00736193" w:rsidRPr="007D0F1A" w:rsidRDefault="00736193" w:rsidP="00736193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Відстеження результативності регуляторного акта здійснено методом кількісного та якісного аналізу </w:t>
      </w:r>
      <w:r w:rsidR="00CB4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інформації, 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</w:t>
      </w:r>
      <w:r w:rsidR="00CB4A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даної суб’єктами ОТК 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загальнодержавної </w:t>
      </w:r>
      <w:r w:rsidRPr="009863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бази даних про результати обов’язкового технічного контролю транспортних засобів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яка є складовою частиною Єдиного державного реєстру МВС,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шляхом порівняння статистичних даних.</w:t>
      </w:r>
    </w:p>
    <w:p w:rsidR="00736193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7. Дані та припущення, на основі яких відстежувалась результативність, а також способи одержання даних</w:t>
      </w:r>
    </w:p>
    <w:p w:rsidR="00736193" w:rsidRPr="007D0F1A" w:rsidRDefault="00736193" w:rsidP="00736193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Результати відстеження регуляторного акта одержані на підставі аналізу даних, отриманих з Єдиного державного реєстру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МВС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кількості суб’єктів ОТК, кількості 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переданої суб’єктами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проведення обов’язкового технічного контролю транспортних засобів (далі – суб’єкти ОТК)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інформації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загальнодержавної </w:t>
      </w:r>
      <w:r w:rsidRPr="009863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бази даних про результати обов’язкового технічного контролю транспортних засобів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 видані ними протоколи перевірки технічного стану колісних транспортних засобів, акти невідповідності технічного стану, а також кількості документів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визнаних під час проведення державного контролю недійсними.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D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Кількісні та якісні значення показників результативності акта</w:t>
      </w:r>
      <w:r w:rsidRPr="007D0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93" w:rsidRPr="007D0F1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F1A">
        <w:rPr>
          <w:sz w:val="28"/>
          <w:szCs w:val="28"/>
          <w:lang w:val="uk-UA"/>
        </w:rPr>
        <w:t>Упровадження регуляторного акта не потребувало виділення додаткових коштів на забезпечення запропонованого регулювання.</w:t>
      </w:r>
    </w:p>
    <w:p w:rsidR="00736193" w:rsidRPr="007D0F1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F1A">
        <w:rPr>
          <w:sz w:val="28"/>
          <w:szCs w:val="28"/>
          <w:lang w:val="uk-UA"/>
        </w:rPr>
        <w:t>Видання та впровадження регуляторного акта не спричинило додаткових витрат з Державного бюджету України.</w:t>
      </w:r>
    </w:p>
    <w:p w:rsidR="00736193" w:rsidRPr="007D0F1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F1A">
        <w:rPr>
          <w:sz w:val="28"/>
          <w:szCs w:val="28"/>
          <w:lang w:val="uk-UA"/>
        </w:rPr>
        <w:t>Дія регуляторного акта поширюється на всіх суб’єктів господарювання, які здійснюють перевірку технічного стану транспортних засобів під час обов’язкового технічного контролю.</w:t>
      </w:r>
    </w:p>
    <w:p w:rsidR="00736193" w:rsidRPr="007D0F1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F1A">
        <w:rPr>
          <w:sz w:val="28"/>
          <w:szCs w:val="28"/>
          <w:lang w:val="uk-UA"/>
        </w:rPr>
        <w:t>Дія акта не призвела до підвищення вартості робіт або збільшення тривалості їх виконання для суб’єктів господарювання, пов’язаних з виконанням вимог акта.</w:t>
      </w:r>
    </w:p>
    <w:p w:rsidR="00736193" w:rsidRPr="007D0F1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F1A">
        <w:rPr>
          <w:sz w:val="28"/>
          <w:szCs w:val="28"/>
          <w:lang w:val="uk-UA"/>
        </w:rPr>
        <w:t xml:space="preserve">Рівень поінформованості суб’єктів господарювання та/або фізичних осіб з  основних положень регуляторного акта високий і забезпечувався шляхом розміщення постанови </w:t>
      </w:r>
      <w:r>
        <w:rPr>
          <w:sz w:val="28"/>
          <w:szCs w:val="28"/>
          <w:lang w:val="uk-UA"/>
        </w:rPr>
        <w:t>Кабінету Міністрів України</w:t>
      </w:r>
      <w:r w:rsidRPr="007D0F1A">
        <w:rPr>
          <w:sz w:val="28"/>
          <w:szCs w:val="28"/>
          <w:lang w:val="uk-UA"/>
        </w:rPr>
        <w:t xml:space="preserve"> на о</w:t>
      </w:r>
      <w:r>
        <w:rPr>
          <w:sz w:val="28"/>
          <w:szCs w:val="28"/>
          <w:lang w:val="uk-UA"/>
        </w:rPr>
        <w:t>фіційному веб</w:t>
      </w:r>
      <w:r w:rsidRPr="007D0F1A">
        <w:rPr>
          <w:sz w:val="28"/>
          <w:szCs w:val="28"/>
          <w:lang w:val="uk-UA"/>
        </w:rPr>
        <w:t>сайті Міністерства внутрішніх справ України.</w:t>
      </w:r>
    </w:p>
    <w:p w:rsidR="00736193" w:rsidRPr="007D0F1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F1A">
        <w:rPr>
          <w:sz w:val="28"/>
          <w:szCs w:val="28"/>
          <w:lang w:val="uk-UA"/>
        </w:rPr>
        <w:t xml:space="preserve">Забезпечення </w:t>
      </w:r>
      <w:r w:rsidRPr="007D0F1A">
        <w:rPr>
          <w:sz w:val="28"/>
          <w:szCs w:val="28"/>
          <w:lang w:val="uk-UA" w:eastAsia="ar-SA"/>
        </w:rPr>
        <w:t xml:space="preserve">якісного та об’єктивного процесу проведення перевірки технічного стану транспортних засобів </w:t>
      </w:r>
      <w:r w:rsidRPr="007D0F1A">
        <w:rPr>
          <w:color w:val="000000"/>
          <w:sz w:val="28"/>
          <w:szCs w:val="28"/>
          <w:lang w:val="uk-UA" w:eastAsia="ar-SA"/>
        </w:rPr>
        <w:t xml:space="preserve">суб’єктами ОТК, а також запобігання порушенню ними законодавства у сфері обов’язкового технічного контролю </w:t>
      </w:r>
      <w:r>
        <w:rPr>
          <w:sz w:val="28"/>
          <w:szCs w:val="28"/>
          <w:lang w:val="uk-UA"/>
        </w:rPr>
        <w:t>до набрання чинності актом</w:t>
      </w:r>
      <w:r w:rsidRPr="007D0F1A">
        <w:rPr>
          <w:sz w:val="28"/>
          <w:szCs w:val="28"/>
          <w:lang w:val="uk-UA"/>
        </w:rPr>
        <w:t xml:space="preserve"> було </w:t>
      </w:r>
      <w:r>
        <w:rPr>
          <w:sz w:val="28"/>
          <w:szCs w:val="28"/>
          <w:lang w:val="uk-UA"/>
        </w:rPr>
        <w:t>не</w:t>
      </w:r>
      <w:r w:rsidRPr="007D0F1A">
        <w:rPr>
          <w:sz w:val="28"/>
          <w:szCs w:val="28"/>
          <w:lang w:val="uk-UA"/>
        </w:rPr>
        <w:t>можлив</w:t>
      </w:r>
      <w:r>
        <w:rPr>
          <w:sz w:val="28"/>
          <w:szCs w:val="28"/>
          <w:lang w:val="uk-UA"/>
        </w:rPr>
        <w:t>е</w:t>
      </w:r>
      <w:r w:rsidRPr="007D0F1A">
        <w:rPr>
          <w:sz w:val="28"/>
          <w:szCs w:val="28"/>
          <w:lang w:val="uk-UA"/>
        </w:rPr>
        <w:t xml:space="preserve"> у зв’язку з відсутністю визначених порядку</w:t>
      </w:r>
      <w:r>
        <w:rPr>
          <w:sz w:val="28"/>
          <w:szCs w:val="28"/>
          <w:lang w:val="uk-UA"/>
        </w:rPr>
        <w:t xml:space="preserve"> ведення реєстру суб’</w:t>
      </w:r>
      <w:r w:rsidRPr="007D0F1A">
        <w:rPr>
          <w:sz w:val="28"/>
          <w:szCs w:val="28"/>
          <w:lang w:val="uk-UA"/>
        </w:rPr>
        <w:t>єктів прове</w:t>
      </w:r>
      <w:r>
        <w:rPr>
          <w:sz w:val="28"/>
          <w:szCs w:val="28"/>
          <w:lang w:val="uk-UA"/>
        </w:rPr>
        <w:t>дення обов’</w:t>
      </w:r>
      <w:r w:rsidRPr="007D0F1A">
        <w:rPr>
          <w:sz w:val="28"/>
          <w:szCs w:val="28"/>
          <w:lang w:val="uk-UA"/>
        </w:rPr>
        <w:t xml:space="preserve">язкового технічного контролю та </w:t>
      </w:r>
      <w:r>
        <w:rPr>
          <w:sz w:val="28"/>
          <w:szCs w:val="28"/>
          <w:lang w:val="uk-UA"/>
        </w:rPr>
        <w:t xml:space="preserve">порядку </w:t>
      </w:r>
      <w:r w:rsidRPr="007D0F1A">
        <w:rPr>
          <w:sz w:val="28"/>
          <w:szCs w:val="28"/>
          <w:lang w:val="uk-UA"/>
        </w:rPr>
        <w:t xml:space="preserve">проведення моніторингу </w:t>
      </w:r>
      <w:r w:rsidRPr="007D0F1A">
        <w:rPr>
          <w:color w:val="000000"/>
          <w:sz w:val="28"/>
          <w:szCs w:val="28"/>
          <w:lang w:val="uk-UA" w:eastAsia="uk-UA"/>
        </w:rPr>
        <w:t>інформації про результати обов’язкового технічного контролю, що передається суб’єктами здійснення обов’язкового технічного контролю до загальнодержавної бази даних</w:t>
      </w:r>
      <w:r w:rsidRPr="007D0F1A">
        <w:rPr>
          <w:sz w:val="28"/>
          <w:szCs w:val="28"/>
          <w:lang w:val="uk-UA"/>
        </w:rPr>
        <w:t>.</w:t>
      </w:r>
    </w:p>
    <w:p w:rsidR="00736193" w:rsidRDefault="00CB4ADA" w:rsidP="0073619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Наказом Міністерства</w:t>
      </w:r>
      <w:r w:rsidR="00736193" w:rsidRPr="007D0F1A">
        <w:rPr>
          <w:sz w:val="28"/>
          <w:szCs w:val="28"/>
          <w:lang w:val="uk-UA"/>
        </w:rPr>
        <w:t xml:space="preserve"> внутрішніх справ України від </w:t>
      </w:r>
      <w:r w:rsidR="00736193" w:rsidRPr="007D0F1A">
        <w:rPr>
          <w:sz w:val="28"/>
          <w:szCs w:val="28"/>
          <w:lang w:val="uk-UA"/>
        </w:rPr>
        <w:br/>
        <w:t xml:space="preserve">28 серпня 2019 року № 736, зареєстрованим </w:t>
      </w:r>
      <w:r w:rsidR="00736193">
        <w:rPr>
          <w:sz w:val="28"/>
          <w:szCs w:val="28"/>
          <w:lang w:val="uk-UA"/>
        </w:rPr>
        <w:t>у</w:t>
      </w:r>
      <w:r w:rsidR="00736193" w:rsidRPr="007D0F1A">
        <w:rPr>
          <w:sz w:val="28"/>
          <w:szCs w:val="28"/>
          <w:lang w:val="uk-UA"/>
        </w:rPr>
        <w:t xml:space="preserve"> Міністерстві юстиції України </w:t>
      </w:r>
      <w:r w:rsidR="00736193">
        <w:rPr>
          <w:sz w:val="28"/>
          <w:szCs w:val="28"/>
          <w:lang w:val="uk-UA"/>
        </w:rPr>
        <w:br/>
      </w:r>
      <w:r w:rsidR="00736193" w:rsidRPr="007D0F1A">
        <w:rPr>
          <w:sz w:val="28"/>
          <w:szCs w:val="28"/>
          <w:lang w:val="uk-UA"/>
        </w:rPr>
        <w:t>18 вересня 2019 року за № 1036/34007</w:t>
      </w:r>
      <w:r w:rsidR="00736193">
        <w:rPr>
          <w:sz w:val="28"/>
          <w:szCs w:val="28"/>
          <w:lang w:val="uk-UA"/>
        </w:rPr>
        <w:t>,</w:t>
      </w:r>
      <w:r w:rsidR="00736193" w:rsidRPr="007D0F1A">
        <w:rPr>
          <w:sz w:val="28"/>
          <w:szCs w:val="28"/>
          <w:lang w:val="uk-UA"/>
        </w:rPr>
        <w:t xml:space="preserve"> затверд</w:t>
      </w:r>
      <w:r>
        <w:rPr>
          <w:sz w:val="28"/>
          <w:szCs w:val="28"/>
          <w:lang w:val="uk-UA"/>
        </w:rPr>
        <w:t>жено</w:t>
      </w:r>
      <w:r w:rsidR="00736193" w:rsidRPr="007D0F1A">
        <w:rPr>
          <w:sz w:val="28"/>
          <w:szCs w:val="28"/>
          <w:lang w:val="uk-UA"/>
        </w:rPr>
        <w:t xml:space="preserve"> Порядок ведення реєстру суб’єктів проведення обо</w:t>
      </w:r>
      <w:r w:rsidR="00736193">
        <w:rPr>
          <w:sz w:val="28"/>
          <w:szCs w:val="28"/>
          <w:lang w:val="uk-UA"/>
        </w:rPr>
        <w:t xml:space="preserve">в’язкового технічного контролю. </w:t>
      </w:r>
      <w:r w:rsidR="00736193">
        <w:rPr>
          <w:color w:val="000000"/>
          <w:sz w:val="28"/>
          <w:szCs w:val="28"/>
          <w:lang w:val="uk-UA" w:eastAsia="uk-UA"/>
        </w:rPr>
        <w:t>Зазначений порядок установлює механізм ведення реєстру суб’єктів проведення обов’язкового технічного контролю транспортних засобів (далі – реєстр СОТК), а також визначає перелік і джерела інформації, що вноситься до реєстру СОТК, що забезпечує об’єктивність, своєчасність та повноту внесення зазначеної інформації.</w:t>
      </w:r>
    </w:p>
    <w:p w:rsidR="00736193" w:rsidRPr="007D0F1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0F1A">
        <w:rPr>
          <w:sz w:val="28"/>
          <w:szCs w:val="28"/>
          <w:lang w:val="uk-UA"/>
        </w:rPr>
        <w:lastRenderedPageBreak/>
        <w:t xml:space="preserve">Крім </w:t>
      </w:r>
      <w:r>
        <w:rPr>
          <w:sz w:val="28"/>
          <w:szCs w:val="28"/>
          <w:lang w:val="uk-UA"/>
        </w:rPr>
        <w:t>того</w:t>
      </w:r>
      <w:r w:rsidRPr="007D0F1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період з </w:t>
      </w:r>
      <w:r w:rsidR="00FB7693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травня </w:t>
      </w:r>
      <w:r w:rsidR="00FB7693"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>до</w:t>
      </w:r>
      <w:r w:rsidRPr="007D0F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</w:t>
      </w:r>
      <w:r w:rsidR="00FB7693">
        <w:rPr>
          <w:sz w:val="28"/>
          <w:szCs w:val="28"/>
          <w:lang w:val="uk-UA"/>
        </w:rPr>
        <w:t xml:space="preserve"> травня</w:t>
      </w:r>
      <w:r w:rsidRPr="007D0F1A">
        <w:rPr>
          <w:sz w:val="28"/>
          <w:szCs w:val="28"/>
          <w:lang w:val="uk-UA"/>
        </w:rPr>
        <w:t xml:space="preserve"> 20</w:t>
      </w:r>
      <w:r w:rsidR="00FB7693">
        <w:rPr>
          <w:sz w:val="28"/>
          <w:szCs w:val="28"/>
          <w:lang w:val="uk-UA"/>
        </w:rPr>
        <w:t>22</w:t>
      </w:r>
      <w:r w:rsidRPr="007D0F1A">
        <w:rPr>
          <w:sz w:val="28"/>
          <w:szCs w:val="28"/>
          <w:lang w:val="uk-UA"/>
        </w:rPr>
        <w:t xml:space="preserve"> року до реєстру </w:t>
      </w:r>
      <w:r w:rsidR="00FB7693">
        <w:rPr>
          <w:sz w:val="28"/>
          <w:szCs w:val="28"/>
          <w:lang w:val="uk-UA"/>
        </w:rPr>
        <w:t>СОТК</w:t>
      </w:r>
      <w:r w:rsidR="00CB4ADA">
        <w:rPr>
          <w:sz w:val="28"/>
          <w:szCs w:val="28"/>
          <w:lang w:val="uk-UA"/>
        </w:rPr>
        <w:t xml:space="preserve"> внесено інформацію про 190</w:t>
      </w:r>
      <w:r w:rsidRPr="00CB4ADA">
        <w:rPr>
          <w:sz w:val="28"/>
          <w:szCs w:val="28"/>
          <w:lang w:val="uk-UA"/>
        </w:rPr>
        <w:t xml:space="preserve"> суб’єктів проведення</w:t>
      </w:r>
      <w:r w:rsidR="00CB4ADA">
        <w:rPr>
          <w:sz w:val="28"/>
          <w:szCs w:val="28"/>
          <w:lang w:val="uk-UA"/>
        </w:rPr>
        <w:t xml:space="preserve"> ОТК, за аналогічний період 2020</w:t>
      </w:r>
      <w:r w:rsidRPr="00CB4ADA">
        <w:rPr>
          <w:sz w:val="28"/>
          <w:szCs w:val="28"/>
          <w:lang w:val="uk-UA"/>
        </w:rPr>
        <w:t xml:space="preserve"> </w:t>
      </w:r>
      <w:r w:rsidR="00CB4ADA">
        <w:rPr>
          <w:color w:val="000000"/>
          <w:sz w:val="28"/>
          <w:szCs w:val="28"/>
          <w:lang w:eastAsia="ar-SA"/>
        </w:rPr>
        <w:t xml:space="preserve"> – </w:t>
      </w:r>
      <w:r w:rsidR="00CB4ADA">
        <w:rPr>
          <w:color w:val="000000"/>
          <w:sz w:val="28"/>
          <w:szCs w:val="28"/>
          <w:lang w:val="uk-UA" w:eastAsia="ar-SA"/>
        </w:rPr>
        <w:t xml:space="preserve">2021 </w:t>
      </w:r>
      <w:r w:rsidR="00CB4ADA">
        <w:rPr>
          <w:sz w:val="28"/>
          <w:szCs w:val="28"/>
          <w:lang w:val="uk-UA"/>
        </w:rPr>
        <w:t>рр.</w:t>
      </w:r>
      <w:r w:rsidRPr="00CB4ADA">
        <w:rPr>
          <w:sz w:val="28"/>
          <w:szCs w:val="28"/>
          <w:lang w:val="uk-UA"/>
        </w:rPr>
        <w:t xml:space="preserve"> до реєстру</w:t>
      </w:r>
      <w:r w:rsidR="00CB4ADA">
        <w:rPr>
          <w:sz w:val="28"/>
          <w:szCs w:val="28"/>
          <w:lang w:val="uk-UA"/>
        </w:rPr>
        <w:t xml:space="preserve"> СОТК було внесено інформацію про 181 суб’єкти</w:t>
      </w:r>
      <w:r w:rsidRPr="00CB4ADA">
        <w:rPr>
          <w:sz w:val="28"/>
          <w:szCs w:val="28"/>
          <w:lang w:val="uk-UA"/>
        </w:rPr>
        <w:t xml:space="preserve"> проведення ОТК.</w:t>
      </w:r>
    </w:p>
    <w:p w:rsidR="00736193" w:rsidRDefault="00736193" w:rsidP="0073619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Наказом Міністерства внутрішніх справ України від </w:t>
      </w:r>
      <w:r w:rsidRPr="00E870DD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 xml:space="preserve"> листопада </w:t>
      </w:r>
      <w:r>
        <w:rPr>
          <w:sz w:val="28"/>
          <w:szCs w:val="28"/>
          <w:lang w:val="uk-UA"/>
        </w:rPr>
        <w:br/>
      </w:r>
      <w:r w:rsidRPr="00E870DD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 xml:space="preserve">року </w:t>
      </w:r>
      <w:r w:rsidRPr="00E870DD">
        <w:rPr>
          <w:sz w:val="28"/>
          <w:szCs w:val="28"/>
          <w:lang w:val="uk-UA"/>
        </w:rPr>
        <w:t>№ 928</w:t>
      </w:r>
      <w:r>
        <w:rPr>
          <w:sz w:val="28"/>
          <w:szCs w:val="28"/>
          <w:lang w:val="uk-UA"/>
        </w:rPr>
        <w:t>, зареєстрованим у</w:t>
      </w:r>
      <w:r w:rsidRPr="00E870DD">
        <w:rPr>
          <w:sz w:val="28"/>
          <w:szCs w:val="28"/>
          <w:lang w:val="uk-UA"/>
        </w:rPr>
        <w:t xml:space="preserve"> Міністерстві</w:t>
      </w:r>
      <w:r>
        <w:rPr>
          <w:sz w:val="28"/>
          <w:szCs w:val="28"/>
          <w:lang w:val="uk-UA"/>
        </w:rPr>
        <w:t xml:space="preserve"> </w:t>
      </w:r>
      <w:r w:rsidRPr="00E870DD">
        <w:rPr>
          <w:sz w:val="28"/>
          <w:szCs w:val="28"/>
          <w:lang w:val="uk-UA"/>
        </w:rPr>
        <w:t>юстиції України</w:t>
      </w:r>
      <w:r>
        <w:rPr>
          <w:sz w:val="28"/>
          <w:szCs w:val="28"/>
          <w:lang w:val="uk-UA"/>
        </w:rPr>
        <w:t xml:space="preserve"> </w:t>
      </w:r>
      <w:r w:rsidRPr="00E870DD">
        <w:rPr>
          <w:sz w:val="28"/>
          <w:szCs w:val="28"/>
          <w:lang w:val="uk-UA"/>
        </w:rPr>
        <w:t xml:space="preserve">10 січня </w:t>
      </w:r>
      <w:r>
        <w:rPr>
          <w:sz w:val="28"/>
          <w:szCs w:val="28"/>
          <w:lang w:val="uk-UA"/>
        </w:rPr>
        <w:br/>
      </w:r>
      <w:r w:rsidRPr="00E870DD">
        <w:rPr>
          <w:sz w:val="28"/>
          <w:szCs w:val="28"/>
          <w:lang w:val="uk-UA"/>
        </w:rPr>
        <w:t>2020 р</w:t>
      </w:r>
      <w:r>
        <w:rPr>
          <w:sz w:val="28"/>
          <w:szCs w:val="28"/>
          <w:lang w:val="uk-UA"/>
        </w:rPr>
        <w:t xml:space="preserve">оку </w:t>
      </w:r>
      <w:r w:rsidRPr="00E870DD">
        <w:rPr>
          <w:sz w:val="28"/>
          <w:szCs w:val="28"/>
          <w:lang w:val="uk-UA"/>
        </w:rPr>
        <w:t>за № 31/34314</w:t>
      </w:r>
      <w:r>
        <w:rPr>
          <w:sz w:val="28"/>
          <w:szCs w:val="28"/>
          <w:lang w:val="uk-UA"/>
        </w:rPr>
        <w:t xml:space="preserve">, затверджено </w:t>
      </w:r>
      <w:r w:rsidRPr="007D0F1A">
        <w:rPr>
          <w:sz w:val="28"/>
          <w:szCs w:val="28"/>
          <w:lang w:val="uk-UA"/>
        </w:rPr>
        <w:t xml:space="preserve">Порядок проведення моніторингу </w:t>
      </w:r>
      <w:r w:rsidRPr="007D0F1A">
        <w:rPr>
          <w:color w:val="000000"/>
          <w:sz w:val="28"/>
          <w:szCs w:val="28"/>
          <w:lang w:val="uk-UA" w:eastAsia="uk-UA"/>
        </w:rPr>
        <w:t>інформації про результати обов’язкового технічного контролю, що передається суб’єктами здійснення обов’язкового технічного контролю д</w:t>
      </w:r>
      <w:r>
        <w:rPr>
          <w:color w:val="000000"/>
          <w:sz w:val="28"/>
          <w:szCs w:val="28"/>
          <w:lang w:val="uk-UA" w:eastAsia="uk-UA"/>
        </w:rPr>
        <w:t xml:space="preserve">о загальнодержавної бази даних. Зазначений порядок установлює процедуру проведення </w:t>
      </w:r>
      <w:r w:rsidRPr="007D0F1A">
        <w:rPr>
          <w:sz w:val="28"/>
          <w:szCs w:val="28"/>
          <w:lang w:val="uk-UA"/>
        </w:rPr>
        <w:t xml:space="preserve">моніторингу </w:t>
      </w:r>
      <w:r w:rsidRPr="007D0F1A">
        <w:rPr>
          <w:color w:val="000000"/>
          <w:sz w:val="28"/>
          <w:szCs w:val="28"/>
          <w:lang w:val="uk-UA" w:eastAsia="uk-UA"/>
        </w:rPr>
        <w:t>інформації про результати обов’язкового технічного контролю, що передається суб’єктами здійснення обов’язкового технічного контролю д</w:t>
      </w:r>
      <w:r>
        <w:rPr>
          <w:color w:val="000000"/>
          <w:sz w:val="28"/>
          <w:szCs w:val="28"/>
          <w:lang w:val="uk-UA" w:eastAsia="uk-UA"/>
        </w:rPr>
        <w:t>о загальнодержавної бази даних (далі – моніторинг), визначає підстави для визнання протоколу перевірки технічного стану транспортних засобів недійсним, а також установлює форму документів, які готуються за результатами проведення моніторингу.</w:t>
      </w:r>
    </w:p>
    <w:p w:rsidR="00736193" w:rsidRPr="00CB4ADA" w:rsidRDefault="00736193" w:rsidP="0073619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Водночас </w:t>
      </w:r>
      <w:r w:rsidR="00FB7693">
        <w:rPr>
          <w:color w:val="000000"/>
          <w:sz w:val="28"/>
          <w:szCs w:val="28"/>
          <w:lang w:val="uk-UA" w:eastAsia="uk-UA"/>
        </w:rPr>
        <w:t>за період з</w:t>
      </w:r>
      <w:r w:rsidR="00FB7693">
        <w:rPr>
          <w:sz w:val="28"/>
          <w:szCs w:val="28"/>
          <w:lang w:val="uk-UA"/>
        </w:rPr>
        <w:t xml:space="preserve"> 01 травня 2021 року до</w:t>
      </w:r>
      <w:r w:rsidR="00FB7693" w:rsidRPr="007D0F1A">
        <w:rPr>
          <w:sz w:val="28"/>
          <w:szCs w:val="28"/>
          <w:lang w:val="uk-UA"/>
        </w:rPr>
        <w:t xml:space="preserve"> </w:t>
      </w:r>
      <w:r w:rsidR="00FB7693">
        <w:rPr>
          <w:sz w:val="28"/>
          <w:szCs w:val="28"/>
          <w:lang w:val="uk-UA"/>
        </w:rPr>
        <w:t>01 травня</w:t>
      </w:r>
      <w:r w:rsidR="00FB7693" w:rsidRPr="007D0F1A">
        <w:rPr>
          <w:sz w:val="28"/>
          <w:szCs w:val="28"/>
          <w:lang w:val="uk-UA"/>
        </w:rPr>
        <w:t xml:space="preserve"> 20</w:t>
      </w:r>
      <w:r w:rsidR="00FB7693">
        <w:rPr>
          <w:sz w:val="28"/>
          <w:szCs w:val="28"/>
          <w:lang w:val="uk-UA"/>
        </w:rPr>
        <w:t>22</w:t>
      </w:r>
      <w:r w:rsidR="00FB7693" w:rsidRPr="007D0F1A">
        <w:rPr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 xml:space="preserve"> відповідно до вимог Порядку </w:t>
      </w:r>
      <w:r w:rsidRPr="007D0F1A">
        <w:rPr>
          <w:sz w:val="28"/>
          <w:szCs w:val="28"/>
          <w:lang w:val="uk-UA"/>
        </w:rPr>
        <w:t xml:space="preserve">проведення моніторингу </w:t>
      </w:r>
      <w:r w:rsidRPr="007D0F1A">
        <w:rPr>
          <w:color w:val="000000"/>
          <w:sz w:val="28"/>
          <w:szCs w:val="28"/>
          <w:lang w:val="uk-UA" w:eastAsia="uk-UA"/>
        </w:rPr>
        <w:t xml:space="preserve">інформації про результати обов’язкового технічного контролю, що передається суб’єктами </w:t>
      </w:r>
      <w:r w:rsidRPr="00CB4ADA">
        <w:rPr>
          <w:color w:val="000000"/>
          <w:sz w:val="28"/>
          <w:szCs w:val="28"/>
          <w:lang w:val="uk-UA" w:eastAsia="uk-UA"/>
        </w:rPr>
        <w:t xml:space="preserve">здійснення обов’язкового технічного контролю до загальнодержавної бази даних, </w:t>
      </w:r>
      <w:r w:rsidR="00CB4ADA">
        <w:rPr>
          <w:color w:val="000000"/>
          <w:sz w:val="28"/>
          <w:szCs w:val="28"/>
          <w:lang w:val="uk-UA" w:eastAsia="uk-UA"/>
        </w:rPr>
        <w:t>було виявлено 474 протоколи</w:t>
      </w:r>
      <w:r w:rsidRPr="00CB4ADA">
        <w:rPr>
          <w:color w:val="000000"/>
          <w:sz w:val="28"/>
          <w:szCs w:val="28"/>
          <w:lang w:val="uk-UA" w:eastAsia="uk-UA"/>
        </w:rPr>
        <w:t xml:space="preserve"> перевірки технічного стану транспортних засобів, виданих з порушенням законодавства у сфері проведення ОТК, та в</w:t>
      </w:r>
      <w:r w:rsidR="00CB4ADA">
        <w:rPr>
          <w:color w:val="000000"/>
          <w:sz w:val="28"/>
          <w:szCs w:val="28"/>
          <w:lang w:val="uk-UA" w:eastAsia="uk-UA"/>
        </w:rPr>
        <w:t>жито заходів реагування до 69</w:t>
      </w:r>
      <w:bookmarkStart w:id="0" w:name="_GoBack"/>
      <w:bookmarkEnd w:id="0"/>
      <w:r w:rsidRPr="00CB4ADA">
        <w:rPr>
          <w:color w:val="000000"/>
          <w:sz w:val="28"/>
          <w:szCs w:val="28"/>
          <w:lang w:val="uk-UA" w:eastAsia="uk-UA"/>
        </w:rPr>
        <w:t xml:space="preserve"> суб’єктів ОТК.</w:t>
      </w:r>
    </w:p>
    <w:p w:rsidR="00736193" w:rsidRPr="007D0F1A" w:rsidRDefault="00736193" w:rsidP="00736193">
      <w:pPr>
        <w:suppressAutoHyphens/>
        <w:spacing w:before="120"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B4A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Оцінка можливих результатів реалізації регуляторного акта та</w:t>
      </w:r>
      <w:r w:rsidRPr="007D0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ступеня досягнення визначених цілей</w:t>
      </w:r>
    </w:p>
    <w:p w:rsidR="00736193" w:rsidRPr="007D0F1A" w:rsidRDefault="00736193" w:rsidP="00736193">
      <w:pPr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0F1A">
        <w:rPr>
          <w:rFonts w:ascii="Times New Roman" w:hAnsi="Times New Roman" w:cs="Times New Roman"/>
          <w:sz w:val="28"/>
          <w:szCs w:val="28"/>
        </w:rPr>
        <w:t xml:space="preserve">На підставі результатів </w:t>
      </w:r>
      <w:r w:rsidR="00FB7693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7D0F1A">
        <w:rPr>
          <w:rFonts w:ascii="Times New Roman" w:hAnsi="Times New Roman" w:cs="Times New Roman"/>
          <w:sz w:val="28"/>
          <w:szCs w:val="28"/>
        </w:rPr>
        <w:t>відстеження результативності регуляторного акта можна зробити висновок, що його реалізація забезпечила прозорість та відкритість ведення реєстру</w:t>
      </w:r>
      <w:r w:rsidR="00FB7693">
        <w:rPr>
          <w:rFonts w:ascii="Times New Roman" w:hAnsi="Times New Roman" w:cs="Times New Roman"/>
          <w:sz w:val="28"/>
          <w:szCs w:val="28"/>
        </w:rPr>
        <w:t xml:space="preserve"> СОТК, сприяла</w:t>
      </w:r>
      <w:r w:rsidRPr="007D0F1A">
        <w:rPr>
          <w:rFonts w:ascii="Times New Roman" w:hAnsi="Times New Roman" w:cs="Times New Roman"/>
          <w:sz w:val="28"/>
          <w:szCs w:val="28"/>
        </w:rPr>
        <w:t xml:space="preserve"> якісному</w:t>
      </w:r>
      <w:r w:rsidRPr="007D0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 об’єктивному проведенню перевірки технічного стану транспортних засобів суб’єктами ОТК</w:t>
      </w:r>
      <w:r w:rsidR="00FB76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36193" w:rsidRPr="007D0F1A" w:rsidRDefault="00736193" w:rsidP="00736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36193" w:rsidRDefault="00736193" w:rsidP="0073619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36193" w:rsidRPr="00F97BCA" w:rsidRDefault="00736193" w:rsidP="007361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0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Міністр внутрішніх справ 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раїни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     Денис МОНАСТИРСЬКИЙ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</w:t>
      </w:r>
    </w:p>
    <w:p w:rsidR="00C657C8" w:rsidRPr="00736193" w:rsidRDefault="00C657C8"/>
    <w:sectPr w:rsidR="00C657C8" w:rsidRPr="00736193" w:rsidSect="00074E16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CA" w:rsidRDefault="005A15CA">
      <w:pPr>
        <w:spacing w:after="0" w:line="240" w:lineRule="auto"/>
      </w:pPr>
      <w:r>
        <w:separator/>
      </w:r>
    </w:p>
  </w:endnote>
  <w:endnote w:type="continuationSeparator" w:id="0">
    <w:p w:rsidR="005A15CA" w:rsidRDefault="005A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CA" w:rsidRDefault="005A15CA">
      <w:pPr>
        <w:spacing w:after="0" w:line="240" w:lineRule="auto"/>
      </w:pPr>
      <w:r>
        <w:separator/>
      </w:r>
    </w:p>
  </w:footnote>
  <w:footnote w:type="continuationSeparator" w:id="0">
    <w:p w:rsidR="005A15CA" w:rsidRDefault="005A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C7" w:rsidRDefault="00B502A1" w:rsidP="00376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7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693">
      <w:rPr>
        <w:rStyle w:val="a5"/>
        <w:noProof/>
      </w:rPr>
      <w:t>3</w:t>
    </w:r>
    <w:r>
      <w:rPr>
        <w:rStyle w:val="a5"/>
      </w:rPr>
      <w:fldChar w:fldCharType="end"/>
    </w:r>
  </w:p>
  <w:p w:rsidR="00F43AC7" w:rsidRDefault="00E9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C7" w:rsidRPr="00037F15" w:rsidRDefault="00B502A1" w:rsidP="00376CE1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</w:rPr>
    </w:pPr>
    <w:r w:rsidRPr="00037F15">
      <w:rPr>
        <w:rStyle w:val="a5"/>
        <w:rFonts w:ascii="Times New Roman" w:hAnsi="Times New Roman" w:cs="Times New Roman"/>
        <w:sz w:val="28"/>
      </w:rPr>
      <w:fldChar w:fldCharType="begin"/>
    </w:r>
    <w:r w:rsidR="00FB7693" w:rsidRPr="00037F15">
      <w:rPr>
        <w:rStyle w:val="a5"/>
        <w:rFonts w:ascii="Times New Roman" w:hAnsi="Times New Roman" w:cs="Times New Roman"/>
        <w:sz w:val="28"/>
      </w:rPr>
      <w:instrText xml:space="preserve">PAGE  </w:instrText>
    </w:r>
    <w:r w:rsidRPr="00037F15">
      <w:rPr>
        <w:rStyle w:val="a5"/>
        <w:rFonts w:ascii="Times New Roman" w:hAnsi="Times New Roman" w:cs="Times New Roman"/>
        <w:sz w:val="28"/>
      </w:rPr>
      <w:fldChar w:fldCharType="separate"/>
    </w:r>
    <w:r w:rsidR="00E91FC3">
      <w:rPr>
        <w:rStyle w:val="a5"/>
        <w:rFonts w:ascii="Times New Roman" w:hAnsi="Times New Roman" w:cs="Times New Roman"/>
        <w:noProof/>
        <w:sz w:val="28"/>
      </w:rPr>
      <w:t>3</w:t>
    </w:r>
    <w:r w:rsidRPr="00037F15">
      <w:rPr>
        <w:rStyle w:val="a5"/>
        <w:rFonts w:ascii="Times New Roman" w:hAnsi="Times New Roman" w:cs="Times New Roman"/>
        <w:sz w:val="28"/>
      </w:rPr>
      <w:fldChar w:fldCharType="end"/>
    </w:r>
  </w:p>
  <w:p w:rsidR="00F43AC7" w:rsidRDefault="00E91F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93"/>
    <w:rsid w:val="0006278B"/>
    <w:rsid w:val="001B3063"/>
    <w:rsid w:val="005A15CA"/>
    <w:rsid w:val="00736193"/>
    <w:rsid w:val="00B502A1"/>
    <w:rsid w:val="00C657C8"/>
    <w:rsid w:val="00CB4ADA"/>
    <w:rsid w:val="00E370B0"/>
    <w:rsid w:val="00E91FC3"/>
    <w:rsid w:val="00FB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1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193"/>
  </w:style>
  <w:style w:type="character" w:styleId="a5">
    <w:name w:val="page number"/>
    <w:basedOn w:val="a0"/>
    <w:rsid w:val="00736193"/>
  </w:style>
  <w:style w:type="paragraph" w:styleId="a6">
    <w:name w:val="Normal (Web)"/>
    <w:basedOn w:val="a"/>
    <w:uiPriority w:val="99"/>
    <w:unhideWhenUsed/>
    <w:rsid w:val="0073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2022-10-20T13:17:00Z</dcterms:created>
  <dcterms:modified xsi:type="dcterms:W3CDTF">2022-10-20T13:17:00Z</dcterms:modified>
</cp:coreProperties>
</file>