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B3C11" w14:textId="77777777" w:rsidR="008E2DCF" w:rsidRDefault="00FB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ЄВРОПЕЙСЬКИЙ СУД З ПРАВ ЛЮДИНИ</w:t>
      </w:r>
    </w:p>
    <w:p w14:paraId="63AC18FD" w14:textId="77777777" w:rsidR="008E2DCF" w:rsidRDefault="00FB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СПРАВА «БОГУТА ТА ТЕРЕЩЕНКО ПРОТИ УКРАЇНИ»</w:t>
      </w:r>
    </w:p>
    <w:p w14:paraId="5C478052" w14:textId="77777777" w:rsidR="008E2DCF" w:rsidRPr="00E45AF5" w:rsidRDefault="00FB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45AF5">
        <w:rPr>
          <w:rFonts w:ascii="Times New Roman" w:hAnsi="Times New Roman"/>
          <w:b/>
          <w:bCs/>
          <w:sz w:val="24"/>
          <w:szCs w:val="24"/>
          <w:lang w:val="en-US"/>
        </w:rPr>
        <w:t xml:space="preserve">(CASE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BOGUTA AND TERESHCHENKO</w:t>
      </w:r>
      <w:r w:rsidRPr="00E45AF5">
        <w:rPr>
          <w:rFonts w:ascii="Times New Roman" w:hAnsi="Times New Roman"/>
          <w:b/>
          <w:bCs/>
          <w:sz w:val="24"/>
          <w:szCs w:val="24"/>
          <w:lang w:val="en-US"/>
        </w:rPr>
        <w:t xml:space="preserve"> v. UKRAINE)</w:t>
      </w:r>
    </w:p>
    <w:p w14:paraId="3E129E89" w14:textId="77777777" w:rsidR="008E2DCF" w:rsidRDefault="00FB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(заяви № 13094/19 та № 37726/19)</w:t>
      </w:r>
    </w:p>
    <w:p w14:paraId="6B58B1F4" w14:textId="77777777" w:rsidR="008E2DCF" w:rsidRDefault="008E2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FC2B8" w14:textId="77777777" w:rsidR="008E2DCF" w:rsidRDefault="00FB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Стислий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виклад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січня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2022 року</w:t>
      </w:r>
    </w:p>
    <w:p w14:paraId="25CDE809" w14:textId="77777777" w:rsidR="008E2DCF" w:rsidRDefault="008E2D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00"/>
        </w:rPr>
      </w:pPr>
    </w:p>
    <w:p w14:paraId="674B56EB" w14:textId="77777777" w:rsidR="008E2DCF" w:rsidRPr="00E45AF5" w:rsidRDefault="00FB25A5">
      <w:pPr>
        <w:pStyle w:val="ECHRPara"/>
        <w:ind w:firstLine="426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 xml:space="preserve">У цій справі родичі заявників загинули за різних обставин. Заявникам відмовляли у порушенні кримінальних справ, неодноразово закривали та відновлювали кримінальні провадження, повертали на додаткове розслідування внаслідок невжиття слідчими необхідних заходів або у зв’язку з відсутністю складу злочину. Провадження у справах заявників досі тривають. </w:t>
      </w:r>
    </w:p>
    <w:p w14:paraId="5052514F" w14:textId="77777777" w:rsidR="008E2DCF" w:rsidRPr="00E45AF5" w:rsidRDefault="00FB25A5">
      <w:pPr>
        <w:pStyle w:val="ECHRPara"/>
        <w:ind w:firstLine="426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 xml:space="preserve">До Європейського суду з прав людини (далі – Європейський суд) заявники скаржилися за статтею </w:t>
      </w:r>
      <w:r>
        <w:rPr>
          <w:rFonts w:ascii="Times New Roman" w:hAnsi="Times New Roman"/>
        </w:rPr>
        <w:t xml:space="preserve">2, </w:t>
      </w:r>
      <w:proofErr w:type="spellStart"/>
      <w:r>
        <w:rPr>
          <w:rFonts w:ascii="Times New Roman" w:hAnsi="Times New Roman"/>
        </w:rPr>
        <w:t>пунктом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статті</w:t>
      </w:r>
      <w:proofErr w:type="spellEnd"/>
      <w:r>
        <w:rPr>
          <w:rFonts w:ascii="Times New Roman" w:hAnsi="Times New Roman"/>
        </w:rPr>
        <w:t xml:space="preserve"> 6 </w:t>
      </w:r>
      <w:proofErr w:type="spellStart"/>
      <w:r>
        <w:rPr>
          <w:rFonts w:ascii="Times New Roman" w:hAnsi="Times New Roman"/>
        </w:rPr>
        <w:t>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статтею</w:t>
      </w:r>
      <w:proofErr w:type="spellEnd"/>
      <w:r>
        <w:rPr>
          <w:rFonts w:ascii="Times New Roman" w:hAnsi="Times New Roman"/>
        </w:rPr>
        <w:t xml:space="preserve"> 13 </w:t>
      </w:r>
      <w:proofErr w:type="spellStart"/>
      <w:r>
        <w:rPr>
          <w:rFonts w:ascii="Times New Roman" w:hAnsi="Times New Roman"/>
        </w:rPr>
        <w:t>Конвенції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захист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людини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основоположних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свобод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далі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Конвенція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розслідування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смертей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їхніх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родичів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неефективним</w:t>
      </w:r>
      <w:proofErr w:type="spellEnd"/>
      <w:r>
        <w:rPr>
          <w:rFonts w:ascii="Times New Roman" w:hAnsi="Times New Roman"/>
        </w:rPr>
        <w:t xml:space="preserve">. </w:t>
      </w:r>
      <w:r w:rsidRPr="00E45AF5">
        <w:rPr>
          <w:rFonts w:ascii="Times New Roman" w:hAnsi="Times New Roman"/>
          <w:lang w:val="ru-RU"/>
        </w:rPr>
        <w:t>Європейський суд вирішив розглянути ці скарги з точки зору зобов’язання держави провести ефективне розслідування за процесуальним аспектом статті 2 Конвенції.</w:t>
      </w:r>
    </w:p>
    <w:p w14:paraId="010618AC" w14:textId="77777777" w:rsidR="008E2DCF" w:rsidRPr="00E45AF5" w:rsidRDefault="00FB25A5">
      <w:pPr>
        <w:pStyle w:val="ECHRPara"/>
        <w:ind w:firstLine="426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 xml:space="preserve">Розглянувши скарги заявників, Європейський суд наголосив, що розслідування у кримінальних справах характеризувалися різними недоліками, зокрема неодноразовим поверненням справи на додаткове розслідування, не проведенням перевірки різних версій подій, надмірною тривалістю дослідчих перевірок та великою кількістю повторних судово-медичних експертиз, які підірвали здатність органів досудового розслідування встановити обставини смерті родичів заявників і відповідальних осіб, якщо такі були. </w:t>
      </w:r>
    </w:p>
    <w:p w14:paraId="61ED3136" w14:textId="77777777" w:rsidR="008E2DCF" w:rsidRPr="00E45AF5" w:rsidRDefault="00FB25A5">
      <w:pPr>
        <w:pStyle w:val="ECHRPara"/>
        <w:ind w:firstLine="426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 xml:space="preserve">Водночас, Європейський суд зауважив, що не кожне розслідування обов’язково має бути успішним або співпадати з викладом подій скаржників, проте таке розслідування </w:t>
      </w:r>
      <w:proofErr w:type="gramStart"/>
      <w:r w:rsidRPr="00E45AF5">
        <w:rPr>
          <w:rFonts w:ascii="Times New Roman" w:hAnsi="Times New Roman"/>
          <w:lang w:val="ru-RU"/>
        </w:rPr>
        <w:t>повинне  призвести</w:t>
      </w:r>
      <w:proofErr w:type="gramEnd"/>
      <w:r w:rsidRPr="00E45AF5">
        <w:rPr>
          <w:rFonts w:ascii="Times New Roman" w:hAnsi="Times New Roman"/>
          <w:lang w:val="ru-RU"/>
        </w:rPr>
        <w:t xml:space="preserve"> до встановлення фактів кримінальної справи, а також  встановлення та покарання винних осіб. Європейський суд дійшов висновку, що проведені у цих справах розслідування не відповідали критерію ефективності та констатував порушення процесуального аспекту статті 2 Конвенції.</w:t>
      </w:r>
    </w:p>
    <w:p w14:paraId="6385BD55" w14:textId="77777777" w:rsidR="008E2DCF" w:rsidRDefault="008E2DCF">
      <w:pPr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1CBD4D95" w14:textId="77777777" w:rsidR="008E2DCF" w:rsidRPr="00E45AF5" w:rsidRDefault="00FB25A5">
      <w:pPr>
        <w:pStyle w:val="ECHRPara"/>
        <w:ind w:firstLine="0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>ЗА ЦИХ ПІДСТАВ СУД ОДНОГОЛОСНО</w:t>
      </w:r>
    </w:p>
    <w:p w14:paraId="25560F98" w14:textId="77777777" w:rsidR="008E2DCF" w:rsidRPr="00E45AF5" w:rsidRDefault="008E2DCF">
      <w:pPr>
        <w:pStyle w:val="ECHRPara"/>
        <w:ind w:firstLine="0"/>
        <w:rPr>
          <w:rFonts w:ascii="Times New Roman" w:eastAsia="Times New Roman" w:hAnsi="Times New Roman" w:cs="Times New Roman"/>
          <w:lang w:val="ru-RU"/>
        </w:rPr>
      </w:pPr>
    </w:p>
    <w:p w14:paraId="71A0F21D" w14:textId="77777777" w:rsidR="008E2DCF" w:rsidRPr="00E45AF5" w:rsidRDefault="00FB25A5">
      <w:pPr>
        <w:pStyle w:val="JuList"/>
        <w:keepNext/>
        <w:keepLines/>
        <w:ind w:left="0" w:firstLine="0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 xml:space="preserve">«1. </w:t>
      </w:r>
      <w:r w:rsidRPr="00E45AF5">
        <w:rPr>
          <w:rFonts w:ascii="Times New Roman" w:hAnsi="Times New Roman"/>
          <w:i/>
          <w:iCs/>
          <w:lang w:val="ru-RU"/>
        </w:rPr>
        <w:t xml:space="preserve">Вирішує </w:t>
      </w:r>
      <w:r w:rsidRPr="00E45AF5">
        <w:rPr>
          <w:rFonts w:ascii="Times New Roman" w:hAnsi="Times New Roman"/>
          <w:lang w:val="ru-RU"/>
        </w:rPr>
        <w:t>об’єднати заяви;</w:t>
      </w:r>
    </w:p>
    <w:p w14:paraId="46752FB5" w14:textId="77777777" w:rsidR="008E2DCF" w:rsidRPr="00E45AF5" w:rsidRDefault="00FB25A5">
      <w:pPr>
        <w:pStyle w:val="JuList"/>
        <w:keepNext/>
        <w:keepLines/>
        <w:ind w:left="0" w:firstLine="0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i/>
          <w:iCs/>
          <w:lang w:val="ru-RU"/>
        </w:rPr>
        <w:t xml:space="preserve">2. Оголошує </w:t>
      </w:r>
      <w:r w:rsidRPr="00E45AF5">
        <w:rPr>
          <w:rFonts w:ascii="Times New Roman" w:hAnsi="Times New Roman"/>
          <w:lang w:val="ru-RU"/>
        </w:rPr>
        <w:t>заяви прийнятними;</w:t>
      </w:r>
    </w:p>
    <w:p w14:paraId="18B3FF42" w14:textId="77777777" w:rsidR="008E2DCF" w:rsidRPr="00E45AF5" w:rsidRDefault="00FB25A5">
      <w:pPr>
        <w:pStyle w:val="JuList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i/>
          <w:iCs/>
          <w:lang w:val="ru-RU"/>
        </w:rPr>
        <w:t>3. Постановляє</w:t>
      </w:r>
      <w:r w:rsidRPr="00E45AF5">
        <w:rPr>
          <w:rFonts w:ascii="Times New Roman" w:hAnsi="Times New Roman"/>
          <w:lang w:val="ru-RU"/>
        </w:rPr>
        <w:t>, що ці заяви свідчать про порушення пункту 1 статті 2 Конвенції у зв’язку з непроведенням ефективного розслідування смерті родичів заявників;</w:t>
      </w:r>
    </w:p>
    <w:p w14:paraId="4C544BE9" w14:textId="77777777" w:rsidR="008E2DCF" w:rsidRPr="00E45AF5" w:rsidRDefault="00FB25A5">
      <w:pPr>
        <w:pStyle w:val="JuList"/>
        <w:ind w:left="0" w:firstLine="0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i/>
          <w:iCs/>
          <w:lang w:val="ru-RU"/>
        </w:rPr>
        <w:t>4. Постановляє</w:t>
      </w:r>
      <w:r w:rsidRPr="00E45AF5">
        <w:rPr>
          <w:rFonts w:ascii="Times New Roman" w:hAnsi="Times New Roman"/>
          <w:lang w:val="ru-RU"/>
        </w:rPr>
        <w:t>, що:</w:t>
      </w:r>
    </w:p>
    <w:p w14:paraId="58F107AE" w14:textId="77777777" w:rsidR="008E2DCF" w:rsidRPr="00E45AF5" w:rsidRDefault="00FB25A5">
      <w:pPr>
        <w:pStyle w:val="JuLista"/>
        <w:tabs>
          <w:tab w:val="left" w:pos="142"/>
        </w:tabs>
        <w:ind w:left="284"/>
        <w:rPr>
          <w:rFonts w:ascii="Times New Roman" w:eastAsia="Times New Roman" w:hAnsi="Times New Roman" w:cs="Times New Roman"/>
          <w:lang w:val="ru-RU"/>
        </w:rPr>
      </w:pPr>
      <w:r w:rsidRPr="00E45AF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a</w:t>
      </w:r>
      <w:r w:rsidRPr="00E45AF5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E45AF5">
        <w:rPr>
          <w:rFonts w:ascii="Times New Roman" w:hAnsi="Times New Roman"/>
          <w:lang w:val="ru-RU"/>
        </w:rPr>
        <w:t>упродовж трьох місяців держава-відповідач повинна сплатити заявникам суми, зазначені у таблиці в додатку, які мають бути конвертовані в національну валюту держави-відповідача за курсом на день здійснення платежу;</w:t>
      </w:r>
    </w:p>
    <w:p w14:paraId="31C0767A" w14:textId="77777777" w:rsidR="008E2DCF" w:rsidRPr="00E45AF5" w:rsidRDefault="00FB25A5">
      <w:pPr>
        <w:pStyle w:val="JuLista"/>
        <w:tabs>
          <w:tab w:val="left" w:pos="142"/>
        </w:tabs>
        <w:ind w:left="284"/>
        <w:rPr>
          <w:lang w:val="ru-RU"/>
        </w:rPr>
      </w:pPr>
      <w:r w:rsidRPr="00E45AF5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</w:rPr>
        <w:t>b</w:t>
      </w:r>
      <w:r w:rsidRPr="00E45AF5">
        <w:rPr>
          <w:rFonts w:ascii="Times New Roman" w:hAnsi="Times New Roman"/>
          <w:lang w:val="ru-RU"/>
        </w:rPr>
        <w:t xml:space="preserve">) із закінченням зазначеного тримісячного строку до остаточного розрахунку на зазначені суми нараховуватиметься простий відсоток </w:t>
      </w:r>
      <w:r w:rsidRPr="00E45AF5">
        <w:rPr>
          <w:rFonts w:ascii="Times New Roman" w:hAnsi="Times New Roman"/>
          <w:i/>
          <w:iCs/>
          <w:lang w:val="ru-RU"/>
        </w:rPr>
        <w:t>(</w:t>
      </w:r>
      <w:r>
        <w:rPr>
          <w:rFonts w:ascii="Times New Roman" w:hAnsi="Times New Roman"/>
          <w:i/>
          <w:iCs/>
        </w:rPr>
        <w:t>simple</w:t>
      </w:r>
      <w:r w:rsidRPr="00E45AF5"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i/>
          <w:iCs/>
        </w:rPr>
        <w:t>interest</w:t>
      </w:r>
      <w:r w:rsidRPr="00E45AF5">
        <w:rPr>
          <w:rFonts w:ascii="Times New Roman" w:hAnsi="Times New Roman"/>
          <w:i/>
          <w:iCs/>
          <w:lang w:val="ru-RU"/>
        </w:rPr>
        <w:t>)</w:t>
      </w:r>
      <w:r w:rsidRPr="00E45AF5">
        <w:rPr>
          <w:rFonts w:ascii="Times New Roman" w:hAnsi="Times New Roman"/>
          <w:lang w:val="ru-RU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пункти.»</w:t>
      </w:r>
    </w:p>
    <w:sectPr w:rsidR="008E2DCF" w:rsidRPr="00E45AF5">
      <w:headerReference w:type="default" r:id="rId6"/>
      <w:footerReference w:type="default" r:id="rId7"/>
      <w:pgSz w:w="11900" w:h="16840"/>
      <w:pgMar w:top="678" w:right="850" w:bottom="993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7B27" w14:textId="77777777" w:rsidR="009B5B38" w:rsidRDefault="009B5B38">
      <w:pPr>
        <w:spacing w:after="0" w:line="240" w:lineRule="auto"/>
      </w:pPr>
      <w:r>
        <w:separator/>
      </w:r>
    </w:p>
  </w:endnote>
  <w:endnote w:type="continuationSeparator" w:id="0">
    <w:p w14:paraId="24F0C920" w14:textId="77777777" w:rsidR="009B5B38" w:rsidRDefault="009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C8D2" w14:textId="77777777" w:rsidR="008E2DCF" w:rsidRDefault="008E2D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843C" w14:textId="77777777" w:rsidR="009B5B38" w:rsidRDefault="009B5B38">
      <w:pPr>
        <w:spacing w:after="0" w:line="240" w:lineRule="auto"/>
      </w:pPr>
      <w:r>
        <w:separator/>
      </w:r>
    </w:p>
  </w:footnote>
  <w:footnote w:type="continuationSeparator" w:id="0">
    <w:p w14:paraId="41DF9F91" w14:textId="77777777" w:rsidR="009B5B38" w:rsidRDefault="009B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93C6" w14:textId="77777777" w:rsidR="008E2DCF" w:rsidRDefault="008E2D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F"/>
    <w:rsid w:val="008E2DCF"/>
    <w:rsid w:val="009B5B38"/>
    <w:rsid w:val="00E45AF5"/>
    <w:rsid w:val="00F11751"/>
    <w:rsid w:val="00FB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08A4"/>
  <w15:docId w15:val="{2264772D-42D4-4122-8E48-7455A239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ECHRPara">
    <w:name w:val="ECHR_Para"/>
    <w:pPr>
      <w:ind w:firstLine="284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JuList">
    <w:name w:val="Ju_List"/>
    <w:pPr>
      <w:ind w:left="340" w:hanging="340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JuLista">
    <w:name w:val="Ju_List_a"/>
    <w:pPr>
      <w:ind w:left="346"/>
      <w:jc w:val="both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</dc:creator>
  <cp:lastModifiedBy>Геннадий Геннадий</cp:lastModifiedBy>
  <cp:revision>2</cp:revision>
  <dcterms:created xsi:type="dcterms:W3CDTF">2022-08-25T09:40:00Z</dcterms:created>
  <dcterms:modified xsi:type="dcterms:W3CDTF">2022-08-25T09:40:00Z</dcterms:modified>
</cp:coreProperties>
</file>