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5"/>
      </w:tblGrid>
      <w:tr w:rsidR="00D25CEF" w:rsidRPr="00524E57" w:rsidTr="00730371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169"/>
            </w:tblGrid>
            <w:tr w:rsidR="00D25CEF" w:rsidRPr="00524E57">
              <w:trPr>
                <w:tblCellSpacing w:w="22" w:type="dxa"/>
              </w:trPr>
              <w:tc>
                <w:tcPr>
                  <w:tcW w:w="5000" w:type="pct"/>
                </w:tcPr>
                <w:p w:rsidR="00036153" w:rsidRPr="00524E57" w:rsidRDefault="00036153" w:rsidP="00524E57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4E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</w:p>
                <w:p w:rsidR="00036153" w:rsidRPr="00524E57" w:rsidRDefault="00F85215" w:rsidP="00524E57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4E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D25CEF" w:rsidRPr="00524E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аказ Міністерства внутрішніх справ України</w:t>
                  </w:r>
                </w:p>
                <w:p w:rsidR="00D25CEF" w:rsidRPr="00524E57" w:rsidRDefault="000624E3" w:rsidP="00524E57">
                  <w:pPr>
                    <w:spacing w:after="0" w:line="240" w:lineRule="auto"/>
                    <w:ind w:left="79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17.10.2018 № 845</w:t>
                  </w:r>
                </w:p>
              </w:tc>
            </w:tr>
          </w:tbl>
          <w:p w:rsidR="00D25CEF" w:rsidRPr="00524E57" w:rsidRDefault="00D25CEF" w:rsidP="00730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1E2" w:rsidRPr="00524E57" w:rsidRDefault="005D11E2" w:rsidP="00730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1E2" w:rsidRPr="00524E57" w:rsidRDefault="005D11E2" w:rsidP="00730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362B" w:rsidRDefault="000F362B" w:rsidP="005205F7">
      <w:pPr>
        <w:spacing w:after="0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D11E2" w:rsidRDefault="005D11E2" w:rsidP="005205F7">
      <w:pPr>
        <w:spacing w:after="0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D25CEF" w:rsidRPr="00524E57" w:rsidRDefault="00D25CEF" w:rsidP="005205F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E57">
        <w:rPr>
          <w:rFonts w:ascii="Times New Roman" w:hAnsi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0D408D" w:rsidRDefault="000D408D" w:rsidP="00CF12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4E57">
        <w:rPr>
          <w:rFonts w:ascii="Times New Roman" w:hAnsi="Times New Roman"/>
          <w:b/>
          <w:color w:val="000000"/>
          <w:sz w:val="24"/>
          <w:szCs w:val="24"/>
        </w:rPr>
        <w:t xml:space="preserve">з </w:t>
      </w:r>
      <w:r w:rsidR="0031234A">
        <w:rPr>
          <w:rFonts w:ascii="Times New Roman" w:hAnsi="Times New Roman"/>
          <w:b/>
          <w:color w:val="000000"/>
          <w:sz w:val="24"/>
          <w:szCs w:val="24"/>
        </w:rPr>
        <w:t>видачі ліцензії в частині, на яку ліцензіат має намір розширити свою діяльність</w:t>
      </w:r>
    </w:p>
    <w:p w:rsidR="0031234A" w:rsidRPr="00524E57" w:rsidRDefault="0031234A" w:rsidP="00CF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12A8" w:rsidRPr="00524E57" w:rsidRDefault="00CF12A8" w:rsidP="00CF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4E57">
        <w:rPr>
          <w:rFonts w:ascii="Times New Roman" w:hAnsi="Times New Roman"/>
          <w:b/>
          <w:sz w:val="24"/>
          <w:szCs w:val="24"/>
          <w:u w:val="single"/>
        </w:rPr>
        <w:t>Міністерство внутрішніх справ України</w:t>
      </w:r>
    </w:p>
    <w:p w:rsidR="00CF12A8" w:rsidRPr="00CF12A8" w:rsidRDefault="00CF12A8" w:rsidP="00CF12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F12A8">
        <w:rPr>
          <w:rFonts w:ascii="Times New Roman" w:hAnsi="Times New Roman"/>
          <w:sz w:val="20"/>
          <w:szCs w:val="20"/>
        </w:rPr>
        <w:t>найменування суб’єкта надання адміністративно послуги</w:t>
      </w:r>
      <w:r>
        <w:rPr>
          <w:rFonts w:ascii="Times New Roman" w:hAnsi="Times New Roman"/>
          <w:sz w:val="20"/>
          <w:szCs w:val="20"/>
        </w:rPr>
        <w:t>)</w:t>
      </w:r>
    </w:p>
    <w:p w:rsidR="00DF3B90" w:rsidRPr="00625D58" w:rsidRDefault="00DF3B90" w:rsidP="00D3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82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697"/>
        <w:gridCol w:w="6118"/>
      </w:tblGrid>
      <w:tr w:rsidR="00C22225" w:rsidRPr="001364E6" w:rsidTr="00862C6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про суб'єкта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адміністративної послуги</w:t>
            </w:r>
          </w:p>
        </w:tc>
      </w:tr>
      <w:tr w:rsidR="00C2222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01601, м. Київ, вул.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Богомольця, 10</w:t>
            </w:r>
          </w:p>
        </w:tc>
      </w:tr>
      <w:tr w:rsidR="00C2222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Режим роботи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Понеділок - четвер: 9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П'ятниця: 9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Обідня перерва: 1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2.45–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</w:tr>
      <w:tr w:rsidR="00C2222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Телефони, електронні адреси, офіційний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веб-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(044)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30, 256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CF12A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12A8"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license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@m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s.gov.ua,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krevsyn@mvs.gov.ua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, http://www.m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s.gov.ua</w:t>
            </w:r>
          </w:p>
        </w:tc>
      </w:tr>
      <w:tr w:rsidR="00C22225" w:rsidRPr="001364E6" w:rsidTr="00862C6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2222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194462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ліцензування видів господарської діяльності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адміністративні послуги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222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F12A8" w:rsidP="00C222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225" w:rsidRPr="00730371" w:rsidRDefault="00C22225" w:rsidP="00C22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Постанови Кабінету Міністрів України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серпня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року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609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від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грудня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1364E6">
              <w:rPr>
                <w:rFonts w:ascii="Times New Roman" w:hAnsi="Times New Roman"/>
                <w:sz w:val="24"/>
                <w:szCs w:val="24"/>
              </w:rPr>
              <w:t>«Про затвердження 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</w:t>
            </w:r>
            <w:r w:rsidR="00C57C0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364E6">
              <w:rPr>
                <w:rFonts w:ascii="Times New Roman" w:hAnsi="Times New Roman"/>
                <w:sz w:val="24"/>
                <w:szCs w:val="24"/>
              </w:rPr>
              <w:t xml:space="preserve">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продажу»</w:t>
            </w:r>
            <w:r>
              <w:rPr>
                <w:rFonts w:ascii="Times New Roman" w:hAnsi="Times New Roman"/>
                <w:sz w:val="24"/>
                <w:szCs w:val="24"/>
              </w:rPr>
              <w:t>, від 24 травня 2017 року № 363 «</w:t>
            </w:r>
            <w:r w:rsidRPr="00036153">
              <w:rPr>
                <w:rFonts w:ascii="Times New Roman" w:hAnsi="Times New Roman"/>
                <w:sz w:val="24"/>
                <w:szCs w:val="24"/>
              </w:rPr>
              <w:t>Про затвердження Порядку подання органу ліцензування документів в електронній формі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2225" w:rsidRPr="001364E6" w:rsidTr="00862C6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22225" w:rsidRPr="00730371" w:rsidRDefault="00C22225" w:rsidP="00524E57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3D68CA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611C4" w:rsidRDefault="007611C4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C4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ліцензіатом вимог ліцензійних умов</w:t>
            </w:r>
          </w:p>
        </w:tc>
      </w:tr>
      <w:tr w:rsidR="00CF12A8" w:rsidRPr="001364E6" w:rsidTr="0092565C">
        <w:trPr>
          <w:trHeight w:val="583"/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BA163C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вимоги до них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3945" w:rsidRPr="004D1851" w:rsidRDefault="00CF12A8" w:rsidP="004D1851">
            <w:pPr>
              <w:pStyle w:val="3"/>
              <w:spacing w:before="0"/>
              <w:ind w:left="114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D1851">
              <w:rPr>
                <w:b w:val="0"/>
                <w:sz w:val="24"/>
                <w:szCs w:val="24"/>
              </w:rPr>
              <w:t xml:space="preserve">1. </w:t>
            </w:r>
            <w:proofErr w:type="spellStart"/>
            <w:r w:rsidRPr="004D1851">
              <w:rPr>
                <w:b w:val="0"/>
                <w:sz w:val="24"/>
                <w:szCs w:val="24"/>
              </w:rPr>
              <w:t>Заява</w:t>
            </w:r>
            <w:proofErr w:type="spellEnd"/>
            <w:r w:rsidRPr="00B66F78">
              <w:rPr>
                <w:sz w:val="24"/>
                <w:szCs w:val="24"/>
              </w:rPr>
              <w:t xml:space="preserve"> </w:t>
            </w:r>
            <w:r w:rsidR="0092565C">
              <w:rPr>
                <w:b w:val="0"/>
                <w:color w:val="000000"/>
                <w:sz w:val="24"/>
                <w:szCs w:val="24"/>
                <w:lang w:val="uk-UA"/>
              </w:rPr>
              <w:t>(додаток).</w:t>
            </w:r>
          </w:p>
          <w:p w:rsidR="00CF12A8" w:rsidRPr="00B66F78" w:rsidRDefault="00CF12A8" w:rsidP="004D1851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n181"/>
            <w:bookmarkEnd w:id="0"/>
            <w:r w:rsidRPr="00B66F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ідтвердні документи:</w:t>
            </w:r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n16"/>
            <w:bookmarkEnd w:id="1"/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засвідчена в установленому порядку копія документа, що підтверджує право власності суб’єкта господарювання або оренди ним приміщень для провадження відповідного виду господарської діяльності;</w:t>
            </w:r>
          </w:p>
          <w:p w:rsidR="00CF12A8" w:rsidRDefault="00CF12A8" w:rsidP="00524E57">
            <w:pPr>
              <w:spacing w:after="0" w:line="240" w:lineRule="auto"/>
              <w:ind w:left="74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n17"/>
            <w:bookmarkEnd w:id="2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дозволу на відкриття об’єкта дозвільної системи;</w:t>
            </w:r>
          </w:p>
          <w:p w:rsidR="00CF12A8" w:rsidRDefault="00CF12A8" w:rsidP="00524E57">
            <w:pPr>
              <w:spacing w:after="0" w:line="240" w:lineRule="auto"/>
              <w:ind w:left="74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n18"/>
            <w:bookmarkEnd w:id="3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нормативний документ у сфері стандартизації (стандарти, технічні регламенти, технічні умови) на кожен вид продукції, що буде вироблятися (зброя, боєприпаси до неї, спеціальні засоби);</w:t>
            </w:r>
          </w:p>
          <w:p w:rsidR="00CF12A8" w:rsidRDefault="00CF12A8" w:rsidP="00524E57">
            <w:pPr>
              <w:spacing w:after="0" w:line="240" w:lineRule="auto"/>
              <w:ind w:left="74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n19"/>
            <w:bookmarkEnd w:id="4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документа, що підтверджує відсутність у керівника здобувача ліцензії та найманих працівників медичних протипоказань до виконання ними функціональних обов’язків та володіння зброєю, спеціальними засобами, який видається в установленому порядку;</w:t>
            </w:r>
          </w:p>
          <w:p w:rsidR="00CF12A8" w:rsidRDefault="00CF12A8" w:rsidP="00524E57">
            <w:pPr>
              <w:spacing w:after="0" w:line="240" w:lineRule="auto"/>
              <w:ind w:left="74" w:firstLine="3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n20"/>
            <w:bookmarkEnd w:id="5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копія довідки про вивчення керівником здобувача ліцензії та найманими працівниками матеріальної частини зброї, спеціальних засобів, правил поводження з ними та їх застосування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12A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n21"/>
            <w:bookmarkEnd w:id="6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опія паспорта керівника здобувача ліцензії (або довіреної особи) з відміткою контролюючого органу про відмову через свої релігійні переконання від прийняття реєстраційного номера облікової картки платника податків (для фізичних осіб - підприємців,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12A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7" w:name="n22"/>
            <w:bookmarkEnd w:id="7"/>
          </w:p>
          <w:p w:rsidR="00CF12A8" w:rsidRPr="00B66F7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 документів, що подаються для </w:t>
            </w:r>
            <w:r w:rsidR="0056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переоформлення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ліцензії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66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двох примірниках</w:t>
            </w:r>
            <w:r w:rsidRPr="00B66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CF12A8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арочно</w:t>
            </w:r>
            <w:proofErr w:type="spellEnd"/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, поштовим відправл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енням  або в електронній формі</w:t>
            </w:r>
            <w:r>
              <w:t xml:space="preserve"> </w:t>
            </w:r>
            <w:r w:rsidRPr="00F021F7">
              <w:rPr>
                <w:rFonts w:ascii="Times New Roman" w:hAnsi="Times New Roman"/>
                <w:sz w:val="24"/>
                <w:szCs w:val="24"/>
                <w:lang w:eastAsia="ru-RU"/>
              </w:rPr>
              <w:t>через Єдиний державний портал адміністративних послуг, у тому числі через інтегровані з ним інформаційні системи органів ліцензування</w:t>
            </w:r>
          </w:p>
        </w:tc>
      </w:tr>
      <w:tr w:rsidR="00CF12A8" w:rsidRPr="00B862A3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B862A3" w:rsidRDefault="00B862A3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надання ліцензії в частині, на яку ліцензіат має намір розширити свою діяльність, справляється </w:t>
            </w:r>
            <w:r w:rsidR="000E6EA5"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>разова плата</w:t>
            </w:r>
          </w:p>
        </w:tc>
      </w:tr>
      <w:tr w:rsidR="005525BC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5BC" w:rsidRDefault="005525BC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5BC" w:rsidRPr="00730371" w:rsidRDefault="005525BC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25BC" w:rsidRPr="00730371" w:rsidRDefault="005525BC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Про ліцензування видів господарської діяльності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5BC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5BC" w:rsidRDefault="005525BC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5BC" w:rsidRPr="00730371" w:rsidRDefault="005525BC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25BC" w:rsidRPr="00730371" w:rsidRDefault="000E6EA5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прожитков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мінімум, виходячи з розміру прожиткового мінімуму для працездатних осіб, що діє на день прийняття органом ліцензування рішення про видачу ліцензії, якщо інший розмір плати не встановлений законом</w:t>
            </w:r>
          </w:p>
        </w:tc>
      </w:tr>
      <w:tr w:rsidR="000E6EA5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A5" w:rsidRDefault="000E6EA5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A5" w:rsidRDefault="000E6EA5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6EA5" w:rsidRPr="000E6EA5" w:rsidRDefault="001B6C58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E6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озрахункові реквізити для внесення плати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зазначаються у</w:t>
            </w:r>
            <w:r w:rsidR="000E6EA5" w:rsidRPr="001B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рішенні про </w:t>
            </w:r>
            <w:r w:rsidR="00B862A3" w:rsidRPr="001B6C58">
              <w:rPr>
                <w:rFonts w:ascii="Times New Roman" w:hAnsi="Times New Roman"/>
                <w:sz w:val="24"/>
                <w:szCs w:val="24"/>
              </w:rPr>
              <w:t xml:space="preserve">розширення провадження </w:t>
            </w:r>
            <w:r w:rsidR="00B862A3" w:rsidRPr="001B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виду </w:t>
            </w:r>
            <w:r w:rsidR="00B862A3" w:rsidRPr="00156901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господарської діяльност</w:t>
            </w:r>
            <w:r w:rsidR="00B862A3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="00F31BBF" w:rsidRPr="00F31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31BBF" w:rsidRPr="00F31BBF">
              <w:rPr>
                <w:rFonts w:ascii="Times New Roman" w:hAnsi="Times New Roman"/>
                <w:sz w:val="24"/>
                <w:szCs w:val="24"/>
              </w:rPr>
              <w:t xml:space="preserve">що підлягає ліцензуванню, </w:t>
            </w:r>
            <w:r w:rsidR="00F31BBF" w:rsidRPr="00F31BBF">
              <w:rPr>
                <w:rFonts w:ascii="Times New Roman" w:hAnsi="Times New Roman"/>
                <w:color w:val="000000"/>
                <w:sz w:val="24"/>
                <w:szCs w:val="24"/>
              </w:rPr>
              <w:t>який провадиться ліцензіатом частково, додатковою частиною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0E6EA5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0842E1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F12A8"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есять робочих днів з дня одержання органом ліцензування заяви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Перелік підстав для відмови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наданні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</w:t>
            </w:r>
            <w:r w:rsidRPr="00194462"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0F362B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Підставою </w:t>
            </w:r>
            <w:r w:rsidR="009044F5"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прийняття рішення про відмову у </w:t>
            </w:r>
            <w:r w:rsidR="007E0818"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818" w:rsidRPr="000F362B">
              <w:rPr>
                <w:rFonts w:ascii="Times New Roman" w:hAnsi="Times New Roman"/>
                <w:sz w:val="24"/>
                <w:szCs w:val="24"/>
              </w:rPr>
              <w:t>розширенн</w:t>
            </w:r>
            <w:r w:rsidR="009044F5" w:rsidRPr="000F362B">
              <w:rPr>
                <w:rFonts w:ascii="Times New Roman" w:hAnsi="Times New Roman"/>
                <w:sz w:val="24"/>
                <w:szCs w:val="24"/>
              </w:rPr>
              <w:t>і</w:t>
            </w:r>
            <w:r w:rsidR="007E0818" w:rsidRPr="000F362B">
              <w:rPr>
                <w:rFonts w:ascii="Times New Roman" w:hAnsi="Times New Roman"/>
                <w:sz w:val="24"/>
                <w:szCs w:val="24"/>
              </w:rPr>
              <w:t xml:space="preserve"> провадження </w:t>
            </w:r>
            <w:r w:rsidR="007E0818" w:rsidRPr="000F362B">
              <w:rPr>
                <w:rFonts w:ascii="Times New Roman" w:hAnsi="Times New Roman"/>
                <w:color w:val="000000"/>
                <w:sz w:val="24"/>
                <w:szCs w:val="24"/>
              </w:rPr>
              <w:t>виду господарської діяльності</w:t>
            </w:r>
            <w:r w:rsidR="00F31BBF" w:rsidRPr="000F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31BBF" w:rsidRPr="000F362B">
              <w:rPr>
                <w:rFonts w:ascii="Times New Roman" w:hAnsi="Times New Roman"/>
                <w:sz w:val="24"/>
                <w:szCs w:val="24"/>
              </w:rPr>
              <w:t xml:space="preserve">що підлягає ліцензуванню, </w:t>
            </w:r>
            <w:r w:rsidR="00F31BBF" w:rsidRPr="000F362B">
              <w:rPr>
                <w:rFonts w:ascii="Times New Roman" w:hAnsi="Times New Roman"/>
                <w:color w:val="000000"/>
                <w:sz w:val="24"/>
                <w:szCs w:val="24"/>
              </w:rPr>
              <w:t>який провадиться ліцензіатом частково, додатковою частиною</w:t>
            </w: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є:</w:t>
            </w:r>
          </w:p>
          <w:p w:rsidR="00CF12A8" w:rsidRPr="000F362B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>1) встановлення невідповідності ліцензі</w:t>
            </w:r>
            <w:r w:rsidR="009044F5"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>ата</w:t>
            </w: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ліцензійним умовам, установленим для провадження виду господарської діяльності, зазначеного в заяві;</w:t>
            </w:r>
          </w:p>
          <w:p w:rsidR="00CF12A8" w:rsidRPr="000F362B" w:rsidRDefault="00CF12A8" w:rsidP="00524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>2) виявлення недостовірності даних у підтвердних документах, поданих ліцензі</w:t>
            </w:r>
            <w:r w:rsidR="009044F5"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>атом</w:t>
            </w:r>
            <w:r w:rsidRPr="000F362B">
              <w:rPr>
                <w:rFonts w:ascii="Times New Roman" w:hAnsi="Times New Roman"/>
                <w:sz w:val="24"/>
                <w:szCs w:val="24"/>
                <w:lang w:eastAsia="ru-RU"/>
              </w:rPr>
              <w:t>. Виявленням недостовірності даних у підтвердних документах, поданих суб’єктом господарювання до органу ліцензування, є встановлення на момент подання документів здобувачем ліцензії чи ліцензіатом наявності розбіжності між даними, наведеними в них, та фактичним станом цього суб’єкта господарювання. Не вважаються недостовірними дані, підстава наведення яких суб’єктом господарювання не могла бути для нього завідомо неналежною.</w:t>
            </w:r>
          </w:p>
          <w:p w:rsidR="00524E57" w:rsidRDefault="00524E57" w:rsidP="00524E57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r w:rsidRPr="000F362B">
              <w:rPr>
                <w:rFonts w:ascii="&amp;quot" w:hAnsi="&amp;quot"/>
                <w:color w:val="000000"/>
                <w:lang w:val="uk-UA"/>
              </w:rPr>
              <w:t>Підставою для залишення</w:t>
            </w:r>
            <w:r w:rsidR="009B2CA4" w:rsidRPr="000F362B">
              <w:rPr>
                <w:rFonts w:ascii="&amp;quot" w:hAnsi="&amp;quot"/>
                <w:color w:val="000000"/>
                <w:lang w:val="uk-UA"/>
              </w:rPr>
              <w:t xml:space="preserve"> без розгляду</w:t>
            </w:r>
            <w:r w:rsidRPr="000F362B">
              <w:rPr>
                <w:rFonts w:ascii="&amp;quot" w:hAnsi="&amp;quot"/>
                <w:color w:val="000000"/>
                <w:lang w:val="uk-UA"/>
              </w:rPr>
              <w:t xml:space="preserve"> заяви є:</w:t>
            </w: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bookmarkStart w:id="8" w:name="n249"/>
            <w:bookmarkEnd w:id="8"/>
            <w:r w:rsidRPr="000F362B">
              <w:rPr>
                <w:rFonts w:ascii="&amp;quot" w:hAnsi="&amp;quot"/>
                <w:color w:val="000000"/>
                <w:lang w:val="uk-UA"/>
              </w:rPr>
              <w:t>1) підписані документи, що додаються до заяви, подані не в повному обсязі;</w:t>
            </w: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ind w:left="74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bookmarkStart w:id="9" w:name="n250"/>
            <w:bookmarkEnd w:id="9"/>
            <w:r w:rsidRPr="000F362B">
              <w:rPr>
                <w:rFonts w:ascii="&amp;quot" w:hAnsi="&amp;quot"/>
                <w:color w:val="000000"/>
                <w:lang w:val="uk-UA"/>
              </w:rPr>
              <w:t>2) заява або хоча б один з документів, що додається до заяви:</w:t>
            </w: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bookmarkStart w:id="10" w:name="n251"/>
            <w:bookmarkEnd w:id="10"/>
            <w:r w:rsidRPr="000F362B">
              <w:rPr>
                <w:rFonts w:ascii="&amp;quot" w:hAnsi="&amp;quot"/>
                <w:color w:val="000000"/>
                <w:lang w:val="uk-UA"/>
              </w:rPr>
              <w:t>підписаний особою, яка не має на це повноважень;</w:t>
            </w: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ind w:left="74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bookmarkStart w:id="11" w:name="n252"/>
            <w:bookmarkEnd w:id="11"/>
            <w:r w:rsidRPr="000F362B">
              <w:rPr>
                <w:rFonts w:ascii="&amp;quot" w:hAnsi="&amp;quot"/>
                <w:color w:val="000000"/>
                <w:lang w:val="uk-UA"/>
              </w:rPr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Законом;</w:t>
            </w:r>
          </w:p>
          <w:p w:rsidR="00337216" w:rsidRPr="000F362B" w:rsidRDefault="00337216" w:rsidP="00524E57">
            <w:pPr>
              <w:pStyle w:val="rvps2"/>
              <w:spacing w:before="0" w:beforeAutospacing="0" w:after="0" w:afterAutospacing="0"/>
              <w:ind w:left="74"/>
              <w:jc w:val="both"/>
              <w:textAlignment w:val="baseline"/>
              <w:rPr>
                <w:rFonts w:ascii="&amp;quot" w:hAnsi="&amp;quot"/>
                <w:color w:val="000000"/>
                <w:lang w:val="uk-UA"/>
              </w:rPr>
            </w:pPr>
            <w:bookmarkStart w:id="12" w:name="n253"/>
            <w:bookmarkEnd w:id="12"/>
            <w:r w:rsidRPr="000F362B">
              <w:rPr>
                <w:rFonts w:ascii="&amp;quot" w:hAnsi="&amp;quot"/>
                <w:color w:val="000000"/>
                <w:lang w:val="uk-UA"/>
              </w:rPr>
              <w:t>3) подання заяви з порушенням строків, передбачених Законом;</w:t>
            </w:r>
          </w:p>
          <w:p w:rsidR="00337216" w:rsidRPr="0031234A" w:rsidRDefault="00337216" w:rsidP="00524E57">
            <w:pPr>
              <w:pStyle w:val="rvps2"/>
              <w:spacing w:before="0" w:beforeAutospacing="0" w:after="0" w:afterAutospacing="0"/>
              <w:ind w:left="74"/>
              <w:jc w:val="both"/>
              <w:textAlignment w:val="baseline"/>
              <w:rPr>
                <w:lang w:val="uk-UA"/>
              </w:rPr>
            </w:pPr>
            <w:bookmarkStart w:id="13" w:name="n254"/>
            <w:bookmarkEnd w:id="13"/>
            <w:r w:rsidRPr="000F362B">
              <w:rPr>
                <w:rFonts w:ascii="&amp;quot" w:hAnsi="&amp;quot"/>
                <w:color w:val="000000"/>
                <w:lang w:val="uk-UA"/>
              </w:rPr>
              <w:t>4) 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B862A3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>Видача ліцензії</w:t>
            </w:r>
            <w:r w:rsidR="00B862A3" w:rsidRPr="00B8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частині, на яку ліцензіат має намір розширити свою діяльність</w:t>
            </w:r>
            <w:r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F12A8" w:rsidRDefault="00CF12A8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>2. Відмова у видачі ліцензії</w:t>
            </w:r>
            <w:r w:rsidR="00B862A3"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62A3" w:rsidRPr="00B862A3">
              <w:rPr>
                <w:rFonts w:ascii="Times New Roman" w:hAnsi="Times New Roman"/>
                <w:color w:val="000000"/>
                <w:sz w:val="24"/>
                <w:szCs w:val="24"/>
              </w:rPr>
              <w:t>в частині, на яку ліцензіат має намір розширити свою діяльність</w:t>
            </w:r>
            <w:r w:rsidRPr="00B86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11C4" w:rsidRPr="00730371" w:rsidRDefault="007611C4" w:rsidP="00524E5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З</w:t>
            </w:r>
            <w:r w:rsidRPr="007611C4">
              <w:rPr>
                <w:rFonts w:ascii="Times New Roman" w:hAnsi="Times New Roman"/>
                <w:color w:val="000000"/>
                <w:sz w:val="24"/>
                <w:szCs w:val="24"/>
              </w:rPr>
              <w:t>алишення заяви без розгляду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CF12A8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255">
              <w:rPr>
                <w:rFonts w:ascii="Times New Roman" w:hAnsi="Times New Roman"/>
                <w:sz w:val="24"/>
                <w:szCs w:val="24"/>
                <w:lang w:eastAsia="ru-RU"/>
              </w:rPr>
              <w:t>Орган ліцензування повідомляє ліцензіату про прийняте рішення в електронній формі через персональний кабінет на Єдиному державному порталі адміністративних послуг, а також оприлюднює таке рішення на своєму офіційному веб-сайті</w:t>
            </w:r>
          </w:p>
        </w:tc>
      </w:tr>
      <w:tr w:rsidR="00CF12A8" w:rsidRPr="001364E6" w:rsidTr="0087032D">
        <w:trPr>
          <w:tblCellSpacing w:w="22" w:type="dxa"/>
          <w:jc w:val="center"/>
        </w:trPr>
        <w:tc>
          <w:tcPr>
            <w:tcW w:w="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CF12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2A8" w:rsidRPr="00730371" w:rsidRDefault="00CF12A8" w:rsidP="005D1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2A8" w:rsidRPr="00730371" w:rsidRDefault="00CF12A8" w:rsidP="00524E57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прийняті рішення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певним 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>видом господарської діяльності розміщує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ться</w:t>
            </w:r>
            <w:r w:rsidRPr="00D44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офіційному веб-сайті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МВС</w:t>
            </w:r>
            <w:r w:rsidR="00524E5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>http://www.m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s.gov.ua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30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підрозділі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D1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МВС.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 база МВС.  Інші нормативно-правові акти»</w:t>
            </w:r>
            <w:r w:rsidR="00090C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738A" w:rsidRDefault="003E738A" w:rsidP="003E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738A" w:rsidRPr="003E738A" w:rsidRDefault="003E738A" w:rsidP="003E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4E57" w:rsidRDefault="00524E57" w:rsidP="005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Начальник</w:t>
      </w:r>
    </w:p>
    <w:p w:rsidR="00524E57" w:rsidRDefault="00524E57" w:rsidP="005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Управління ліцензування</w:t>
      </w:r>
    </w:p>
    <w:p w:rsidR="00524E57" w:rsidRDefault="00524E57" w:rsidP="00524E57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Міністерства внутрішніх справ </w:t>
      </w:r>
      <w:r w:rsidR="00090C35">
        <w:rPr>
          <w:rFonts w:ascii="Times New Roman" w:hAnsi="Times New Roman"/>
          <w:b/>
          <w:sz w:val="24"/>
          <w:szCs w:val="24"/>
          <w:lang w:eastAsia="ru-RU"/>
        </w:rPr>
        <w:t>України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В. І.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Камишанов</w:t>
      </w:r>
      <w:proofErr w:type="spellEnd"/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50D1" w:rsidRDefault="00FD50D1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4" w:name="_GoBack"/>
      <w:bookmarkEnd w:id="14"/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99B" w:rsidRDefault="002C599B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054" w:rsidRDefault="00D45054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054" w:rsidRDefault="00D45054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054" w:rsidRDefault="00D45054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054" w:rsidRDefault="00D45054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054" w:rsidRDefault="00D45054" w:rsidP="003E7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738A" w:rsidRDefault="003E738A" w:rsidP="00BE13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CEF" w:rsidRPr="006E4781" w:rsidRDefault="00D25CEF" w:rsidP="00643A06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D25CEF" w:rsidRPr="006E4781" w:rsidSect="0092565C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7B" w:rsidRDefault="000A127B">
      <w:r>
        <w:separator/>
      </w:r>
    </w:p>
  </w:endnote>
  <w:endnote w:type="continuationSeparator" w:id="0">
    <w:p w:rsidR="000A127B" w:rsidRDefault="000A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7B" w:rsidRDefault="000A127B">
      <w:r>
        <w:separator/>
      </w:r>
    </w:p>
  </w:footnote>
  <w:footnote w:type="continuationSeparator" w:id="0">
    <w:p w:rsidR="000A127B" w:rsidRDefault="000A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EF" w:rsidRDefault="00D25CEF" w:rsidP="00D428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5CEF" w:rsidRDefault="00D25C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EF" w:rsidRDefault="00D25CEF" w:rsidP="00D428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50D1">
      <w:rPr>
        <w:rStyle w:val="aa"/>
        <w:noProof/>
      </w:rPr>
      <w:t>5</w:t>
    </w:r>
    <w:r>
      <w:rPr>
        <w:rStyle w:val="aa"/>
      </w:rPr>
      <w:fldChar w:fldCharType="end"/>
    </w:r>
  </w:p>
  <w:p w:rsidR="00D25CEF" w:rsidRDefault="00D25C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71"/>
    <w:rsid w:val="00036153"/>
    <w:rsid w:val="00042E54"/>
    <w:rsid w:val="00043079"/>
    <w:rsid w:val="000443FC"/>
    <w:rsid w:val="000463FE"/>
    <w:rsid w:val="000575D5"/>
    <w:rsid w:val="000624E3"/>
    <w:rsid w:val="00065539"/>
    <w:rsid w:val="000842E1"/>
    <w:rsid w:val="00085F34"/>
    <w:rsid w:val="000878A7"/>
    <w:rsid w:val="00090C35"/>
    <w:rsid w:val="000A127B"/>
    <w:rsid w:val="000B663C"/>
    <w:rsid w:val="000B7AA5"/>
    <w:rsid w:val="000C42CA"/>
    <w:rsid w:val="000D408D"/>
    <w:rsid w:val="000E6EA5"/>
    <w:rsid w:val="000F362B"/>
    <w:rsid w:val="00110250"/>
    <w:rsid w:val="00112894"/>
    <w:rsid w:val="001364E6"/>
    <w:rsid w:val="001504EF"/>
    <w:rsid w:val="00156901"/>
    <w:rsid w:val="00157037"/>
    <w:rsid w:val="00175955"/>
    <w:rsid w:val="00194462"/>
    <w:rsid w:val="001A038C"/>
    <w:rsid w:val="001B6C58"/>
    <w:rsid w:val="001E33D2"/>
    <w:rsid w:val="001E3930"/>
    <w:rsid w:val="001E4493"/>
    <w:rsid w:val="00212CEF"/>
    <w:rsid w:val="00276D58"/>
    <w:rsid w:val="002C599B"/>
    <w:rsid w:val="0031234A"/>
    <w:rsid w:val="00337216"/>
    <w:rsid w:val="00370E71"/>
    <w:rsid w:val="00383255"/>
    <w:rsid w:val="003D3290"/>
    <w:rsid w:val="003D68CA"/>
    <w:rsid w:val="003E738A"/>
    <w:rsid w:val="00407B6F"/>
    <w:rsid w:val="00412F2C"/>
    <w:rsid w:val="0043002A"/>
    <w:rsid w:val="004753B3"/>
    <w:rsid w:val="004A3789"/>
    <w:rsid w:val="004A62D9"/>
    <w:rsid w:val="004D1851"/>
    <w:rsid w:val="005205F7"/>
    <w:rsid w:val="00524E57"/>
    <w:rsid w:val="0053230E"/>
    <w:rsid w:val="005525BC"/>
    <w:rsid w:val="00562E87"/>
    <w:rsid w:val="005647A2"/>
    <w:rsid w:val="00581FA7"/>
    <w:rsid w:val="005C29BB"/>
    <w:rsid w:val="005D11E2"/>
    <w:rsid w:val="005F6B11"/>
    <w:rsid w:val="005F6FEB"/>
    <w:rsid w:val="00625D58"/>
    <w:rsid w:val="00643A06"/>
    <w:rsid w:val="006D449D"/>
    <w:rsid w:val="006E1C97"/>
    <w:rsid w:val="006E4781"/>
    <w:rsid w:val="0072766C"/>
    <w:rsid w:val="00730371"/>
    <w:rsid w:val="00752964"/>
    <w:rsid w:val="007611C4"/>
    <w:rsid w:val="007647E0"/>
    <w:rsid w:val="00785497"/>
    <w:rsid w:val="007A07A5"/>
    <w:rsid w:val="007E0818"/>
    <w:rsid w:val="008004AA"/>
    <w:rsid w:val="00804A9D"/>
    <w:rsid w:val="00820C26"/>
    <w:rsid w:val="0084195A"/>
    <w:rsid w:val="00862C6F"/>
    <w:rsid w:val="0087032D"/>
    <w:rsid w:val="00880C53"/>
    <w:rsid w:val="00892086"/>
    <w:rsid w:val="008A4463"/>
    <w:rsid w:val="008D506F"/>
    <w:rsid w:val="008D692B"/>
    <w:rsid w:val="008E792B"/>
    <w:rsid w:val="008F1B2A"/>
    <w:rsid w:val="008F4D1C"/>
    <w:rsid w:val="00900E60"/>
    <w:rsid w:val="009044F5"/>
    <w:rsid w:val="0092565C"/>
    <w:rsid w:val="00927474"/>
    <w:rsid w:val="00930B03"/>
    <w:rsid w:val="00944637"/>
    <w:rsid w:val="009668C3"/>
    <w:rsid w:val="009B2CA4"/>
    <w:rsid w:val="009C7B6B"/>
    <w:rsid w:val="009E4137"/>
    <w:rsid w:val="00AD6800"/>
    <w:rsid w:val="00AD6B1B"/>
    <w:rsid w:val="00AF7053"/>
    <w:rsid w:val="00B63945"/>
    <w:rsid w:val="00B66F78"/>
    <w:rsid w:val="00B862A3"/>
    <w:rsid w:val="00BA163C"/>
    <w:rsid w:val="00BC5A6D"/>
    <w:rsid w:val="00BE13BA"/>
    <w:rsid w:val="00BE2574"/>
    <w:rsid w:val="00C07E5B"/>
    <w:rsid w:val="00C10E72"/>
    <w:rsid w:val="00C22225"/>
    <w:rsid w:val="00C57C00"/>
    <w:rsid w:val="00C83509"/>
    <w:rsid w:val="00CA1D19"/>
    <w:rsid w:val="00CC44BB"/>
    <w:rsid w:val="00CF12A8"/>
    <w:rsid w:val="00CF4F9C"/>
    <w:rsid w:val="00CF65B8"/>
    <w:rsid w:val="00D16366"/>
    <w:rsid w:val="00D25CEF"/>
    <w:rsid w:val="00D31BA5"/>
    <w:rsid w:val="00D428CF"/>
    <w:rsid w:val="00D44E04"/>
    <w:rsid w:val="00D45054"/>
    <w:rsid w:val="00D56CD7"/>
    <w:rsid w:val="00D74516"/>
    <w:rsid w:val="00DC5EBE"/>
    <w:rsid w:val="00DF3B90"/>
    <w:rsid w:val="00E1096F"/>
    <w:rsid w:val="00E12A1F"/>
    <w:rsid w:val="00E406A9"/>
    <w:rsid w:val="00E84A2A"/>
    <w:rsid w:val="00EB6062"/>
    <w:rsid w:val="00EC5328"/>
    <w:rsid w:val="00ED150D"/>
    <w:rsid w:val="00ED5005"/>
    <w:rsid w:val="00F021F7"/>
    <w:rsid w:val="00F203A9"/>
    <w:rsid w:val="00F31BBF"/>
    <w:rsid w:val="00F327AF"/>
    <w:rsid w:val="00F658AF"/>
    <w:rsid w:val="00F85215"/>
    <w:rsid w:val="00F93393"/>
    <w:rsid w:val="00FC02E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8BF0"/>
  <w15:docId w15:val="{5FAD1B9A-4A39-4DE8-8048-65AF213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E2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9"/>
    <w:qFormat/>
    <w:rsid w:val="0073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rsid w:val="00730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3037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3037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7303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3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uiPriority w:val="99"/>
    <w:rsid w:val="00581FA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6">
    <w:name w:val="List Paragraph"/>
    <w:basedOn w:val="a"/>
    <w:uiPriority w:val="99"/>
    <w:qFormat/>
    <w:rsid w:val="001E3930"/>
    <w:pPr>
      <w:ind w:left="720"/>
      <w:contextualSpacing/>
    </w:pPr>
  </w:style>
  <w:style w:type="paragraph" w:customStyle="1" w:styleId="a7">
    <w:name w:val="Назва документа"/>
    <w:basedOn w:val="a"/>
    <w:next w:val="a5"/>
    <w:uiPriority w:val="99"/>
    <w:rsid w:val="00BE13B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4A62D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uiPriority w:val="99"/>
    <w:rsid w:val="004A62D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B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B663C"/>
    <w:rPr>
      <w:rFonts w:ascii="Segoe UI" w:hAnsi="Segoe UI" w:cs="Segoe UI"/>
      <w:sz w:val="18"/>
      <w:szCs w:val="18"/>
      <w:lang w:val="uk-UA" w:eastAsia="en-US"/>
    </w:rPr>
  </w:style>
  <w:style w:type="paragraph" w:customStyle="1" w:styleId="rvps2">
    <w:name w:val="rvps2"/>
    <w:basedOn w:val="a"/>
    <w:rsid w:val="00337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2C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202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5AE3-AB53-49B7-B528-ED7F36F0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2018-10-03T13:06:00Z</cp:lastPrinted>
  <dcterms:created xsi:type="dcterms:W3CDTF">2018-08-06T12:20:00Z</dcterms:created>
  <dcterms:modified xsi:type="dcterms:W3CDTF">2018-10-18T09:28:00Z</dcterms:modified>
</cp:coreProperties>
</file>