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35" w:rsidRPr="00587035" w:rsidRDefault="00587035" w:rsidP="00587035">
      <w:pPr>
        <w:shd w:val="clear" w:color="auto" w:fill="F8F8F6"/>
        <w:spacing w:after="0" w:line="240" w:lineRule="auto"/>
        <w:ind w:right="1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87035">
        <w:rPr>
          <w:rFonts w:ascii="Verdana" w:eastAsia="Times New Roman" w:hAnsi="Verdana" w:cs="Times New Roman"/>
          <w:b/>
          <w:bCs/>
          <w:smallCaps/>
          <w:color w:val="000000"/>
          <w:sz w:val="21"/>
          <w:szCs w:val="21"/>
          <w:lang w:eastAsia="ru-RU"/>
        </w:rPr>
        <w:t>орієнтовний</w:t>
      </w:r>
      <w:proofErr w:type="spellEnd"/>
      <w:r w:rsidRPr="00587035">
        <w:rPr>
          <w:rFonts w:ascii="Verdana" w:eastAsia="Times New Roman" w:hAnsi="Verdana" w:cs="Times New Roman"/>
          <w:b/>
          <w:bCs/>
          <w:smallCaps/>
          <w:color w:val="000000"/>
          <w:sz w:val="21"/>
          <w:szCs w:val="21"/>
          <w:lang w:eastAsia="ru-RU"/>
        </w:rPr>
        <w:t xml:space="preserve"> план</w:t>
      </w:r>
    </w:p>
    <w:p w:rsidR="00587035" w:rsidRPr="00587035" w:rsidRDefault="00587035" w:rsidP="00587035">
      <w:pPr>
        <w:shd w:val="clear" w:color="auto" w:fill="F8F8F6"/>
        <w:spacing w:after="0" w:line="240" w:lineRule="auto"/>
        <w:ind w:right="1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проведення</w:t>
      </w:r>
      <w:proofErr w:type="spellEnd"/>
      <w:proofErr w:type="gramEnd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Міністерством</w:t>
      </w:r>
      <w:proofErr w:type="spellEnd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внутрішніх</w:t>
      </w:r>
      <w:proofErr w:type="spellEnd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справ </w:t>
      </w:r>
      <w:proofErr w:type="spell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України</w:t>
      </w:r>
      <w:proofErr w:type="spellEnd"/>
    </w:p>
    <w:p w:rsidR="00587035" w:rsidRPr="00587035" w:rsidRDefault="00587035" w:rsidP="00587035">
      <w:pPr>
        <w:shd w:val="clear" w:color="auto" w:fill="F8F8F6"/>
        <w:spacing w:after="0" w:line="240" w:lineRule="auto"/>
        <w:ind w:right="1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консультацій</w:t>
      </w:r>
      <w:proofErr w:type="spellEnd"/>
      <w:proofErr w:type="gramEnd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громадськістю</w:t>
      </w:r>
      <w:proofErr w:type="spellEnd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на 2013 </w:t>
      </w:r>
      <w:proofErr w:type="spellStart"/>
      <w:r w:rsidRPr="0058703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рік</w:t>
      </w:r>
      <w:proofErr w:type="spellEnd"/>
    </w:p>
    <w:p w:rsidR="00587035" w:rsidRPr="00587035" w:rsidRDefault="00587035" w:rsidP="00587035">
      <w:pPr>
        <w:shd w:val="clear" w:color="auto" w:fill="F8F8F6"/>
        <w:spacing w:after="0" w:line="240" w:lineRule="auto"/>
        <w:ind w:right="14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57"/>
        <w:gridCol w:w="4678"/>
        <w:gridCol w:w="1984"/>
        <w:gridCol w:w="2530"/>
        <w:gridCol w:w="3053"/>
      </w:tblGrid>
      <w:tr w:rsidR="00587035" w:rsidRPr="00587035" w:rsidTr="00587035">
        <w:trPr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26" w:lineRule="atLeast"/>
              <w:ind w:left="29" w:hanging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(проект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рішення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), яке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планується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винести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обговорення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30" w:lineRule="atLeast"/>
              <w:ind w:left="2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Заходи,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заплановані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рамках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консультацій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Орієнтовний</w:t>
            </w:r>
            <w:proofErr w:type="spellEnd"/>
          </w:p>
          <w:p w:rsidR="00587035" w:rsidRPr="00587035" w:rsidRDefault="00587035" w:rsidP="0058703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строк</w:t>
            </w:r>
            <w:proofErr w:type="gram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консультацій</w:t>
            </w:r>
            <w:proofErr w:type="spellEnd"/>
          </w:p>
          <w:p w:rsidR="00587035" w:rsidRPr="00587035" w:rsidRDefault="00587035" w:rsidP="0058703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58703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  <w:proofErr w:type="gramEnd"/>
            <w:r w:rsidRPr="005870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lang w:eastAsia="ru-RU"/>
              </w:rPr>
              <w:t>або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місяць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працівник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587035" w:rsidRPr="00587035" w:rsidRDefault="00587035" w:rsidP="0058703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органу</w:t>
            </w:r>
            <w:proofErr w:type="gram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консультацій</w:t>
            </w:r>
            <w:proofErr w:type="spellEnd"/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структурного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підрозділу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працівника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),</w:t>
            </w:r>
          </w:p>
          <w:p w:rsidR="00587035" w:rsidRPr="00587035" w:rsidRDefault="00587035" w:rsidP="0058703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відповідального</w:t>
            </w:r>
            <w:proofErr w:type="spellEnd"/>
            <w:proofErr w:type="gram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консультацій</w:t>
            </w:r>
            <w:proofErr w:type="spellEnd"/>
          </w:p>
          <w:p w:rsidR="00587035" w:rsidRPr="00587035" w:rsidRDefault="00587035" w:rsidP="0058703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  <w:proofErr w:type="gram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електронна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адреса)</w:t>
            </w:r>
          </w:p>
        </w:tc>
      </w:tr>
      <w:tr w:rsidR="00587035" w:rsidRPr="00587035" w:rsidTr="00587035">
        <w:trPr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6</w:t>
            </w:r>
          </w:p>
        </w:tc>
      </w:tr>
      <w:tr w:rsidR="00587035" w:rsidRPr="00587035" w:rsidTr="00587035">
        <w:trPr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Проект наказу МВС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"Про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встановлення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нормативної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вартості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однієїекспертогодини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у 2013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році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Корегування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вартості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однієїекспертогодини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7035">
              <w:rPr>
                <w:rFonts w:ascii="Times New Roman" w:eastAsia="Times New Roman" w:hAnsi="Times New Roman" w:cs="Times New Roman"/>
                <w:smallCaps/>
                <w:lang w:eastAsia="ru-RU"/>
              </w:rPr>
              <w:t>3</w:t>
            </w: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урахуванням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індексу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споживчих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цін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індекс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інфляції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Лютий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2013 року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Міністерство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справ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8" w:lineRule="atLeast"/>
              <w:ind w:left="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УЗГ ДНДЕКЦ</w:t>
            </w:r>
          </w:p>
          <w:p w:rsidR="00587035" w:rsidRPr="00587035" w:rsidRDefault="00587035" w:rsidP="00587035">
            <w:pPr>
              <w:spacing w:after="0" w:line="274" w:lineRule="atLeast"/>
              <w:ind w:left="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БородичНаталія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сл. тел. (044)256-1369</w:t>
            </w:r>
          </w:p>
        </w:tc>
      </w:tr>
      <w:tr w:rsidR="00587035" w:rsidRPr="00587035" w:rsidTr="00587035">
        <w:trPr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Проект наказу МВС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"Про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провадження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охоронної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Визначення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організаційних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кваліфікаційних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особливих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провадження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охоронної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3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Квітень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2013 року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Міністерство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справ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УЗГ 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ДГББородичНаталія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сл. тел. (044)256-1369</w:t>
            </w:r>
          </w:p>
        </w:tc>
      </w:tr>
      <w:tr w:rsidR="00587035" w:rsidRPr="00587035" w:rsidTr="00587035">
        <w:trPr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Проект наказу МВС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"Про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контролю за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додержанням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провадження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охоронної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69" w:lineRule="atLeast"/>
              <w:ind w:left="14" w:hanging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Установлення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організації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перевірок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ЩОДОдотримання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суб'єктами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господарювання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умов;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здійснюють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; прав і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обов'язків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ліцензіата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; порядку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оформлення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результатів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; контролю за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виконанням</w:t>
            </w:r>
            <w:proofErr w:type="spellEnd"/>
          </w:p>
          <w:p w:rsidR="00587035" w:rsidRPr="00587035" w:rsidRDefault="00587035" w:rsidP="00587035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розпоряджень</w:t>
            </w:r>
            <w:proofErr w:type="spellEnd"/>
            <w:proofErr w:type="gram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усунення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порушень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ліцензіатом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умов,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анулювання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8" w:lineRule="atLeast"/>
              <w:ind w:left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Квітень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2013 року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Міністерство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справ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8" w:lineRule="atLeast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УЗГ ДГБ</w:t>
            </w:r>
          </w:p>
          <w:p w:rsidR="00587035" w:rsidRPr="00587035" w:rsidRDefault="00587035" w:rsidP="00587035">
            <w:pPr>
              <w:spacing w:after="0" w:line="274" w:lineRule="atLeast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БородичНаталія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сл. тел. (044)256-1369</w:t>
            </w:r>
          </w:p>
        </w:tc>
      </w:tr>
      <w:tr w:rsidR="00587035" w:rsidRPr="00587035" w:rsidTr="00587035">
        <w:trPr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587035" w:rsidRPr="00587035" w:rsidRDefault="00587035" w:rsidP="0058703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spacing w:val="-40"/>
                <w:vertAlign w:val="superscript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ЗаконуУкраїни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"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Продозвільнусистемуорганів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внутрішніхсправ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Законодавче</w:t>
            </w:r>
            <w:proofErr w:type="spellEnd"/>
          </w:p>
          <w:p w:rsidR="00587035" w:rsidRPr="00587035" w:rsidRDefault="00587035" w:rsidP="00587035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врегулювання</w:t>
            </w:r>
            <w:proofErr w:type="spellEnd"/>
            <w:proofErr w:type="gram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питань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функціонування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дозвільної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системи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83" w:lineRule="atLeast"/>
              <w:ind w:left="235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Грудень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2013 року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Міністерство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справ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УЗГ 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ДГББородичНаталія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сл. тел. (044)256-1369</w:t>
            </w:r>
          </w:p>
        </w:tc>
      </w:tr>
      <w:tr w:rsidR="00587035" w:rsidRPr="00587035" w:rsidTr="00587035">
        <w:trPr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Проект наказу МВС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"Про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Положення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конкурсний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відбір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суб'єктів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оціночної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випадках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відчуження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військового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майна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військ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МВС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Приведення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надлишкового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військового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майна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військ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МВС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внутрішньому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ринку до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Положення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про порядок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відчуження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військового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майна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Збройних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Сил,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затвердженого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постановою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Кабінету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Міністрів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28.12.2000 № 1919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240" w:firstLine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Грудень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2013 року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Міністерство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внутрішніх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справ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7035" w:rsidRPr="00587035" w:rsidRDefault="00587035" w:rsidP="00587035">
            <w:pPr>
              <w:spacing w:after="0" w:line="274" w:lineRule="atLeast"/>
              <w:ind w:left="2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УЗГ 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ГУВВБородичНаталія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  <w:r w:rsidRPr="00587035">
              <w:rPr>
                <w:rFonts w:ascii="Times New Roman" w:eastAsia="Times New Roman" w:hAnsi="Times New Roman" w:cs="Times New Roman"/>
                <w:lang w:eastAsia="ru-RU"/>
              </w:rPr>
              <w:t> сл. тел. (044)256-1369</w:t>
            </w:r>
          </w:p>
        </w:tc>
      </w:tr>
    </w:tbl>
    <w:p w:rsidR="00F0390D" w:rsidRPr="00DC4D59" w:rsidRDefault="00C97A65" w:rsidP="00587035"/>
    <w:sectPr w:rsidR="00F0390D" w:rsidRPr="00DC4D59" w:rsidSect="00587035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59"/>
    <w:rsid w:val="00262459"/>
    <w:rsid w:val="00587035"/>
    <w:rsid w:val="00C211CF"/>
    <w:rsid w:val="00C97A65"/>
    <w:rsid w:val="00DC4D59"/>
    <w:rsid w:val="00E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87AD-F65A-42BB-B7AE-A5D87F84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2015-10-05T07:48:00Z</dcterms:created>
  <dcterms:modified xsi:type="dcterms:W3CDTF">2015-10-05T09:57:00Z</dcterms:modified>
</cp:coreProperties>
</file>