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C" w:rsidRDefault="00CA068C" w:rsidP="00CA068C">
      <w:pPr>
        <w:spacing w:after="0"/>
        <w:ind w:left="6860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caps/>
          <w:sz w:val="24"/>
          <w:szCs w:val="24"/>
        </w:rPr>
        <w:t>атверджено</w:t>
      </w:r>
    </w:p>
    <w:p w:rsidR="00CA068C" w:rsidRDefault="00CA068C" w:rsidP="00CA068C">
      <w:pPr>
        <w:spacing w:after="0"/>
        <w:ind w:left="6860"/>
        <w:rPr>
          <w:sz w:val="24"/>
          <w:szCs w:val="24"/>
        </w:rPr>
      </w:pPr>
      <w:r>
        <w:rPr>
          <w:sz w:val="24"/>
          <w:szCs w:val="24"/>
        </w:rPr>
        <w:t xml:space="preserve">Наказ </w:t>
      </w:r>
      <w:proofErr w:type="spellStart"/>
      <w:r>
        <w:rPr>
          <w:sz w:val="24"/>
          <w:szCs w:val="24"/>
        </w:rPr>
        <w:t>Міністерства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внутрішніх</w:t>
      </w:r>
      <w:proofErr w:type="spellEnd"/>
      <w:r>
        <w:rPr>
          <w:sz w:val="24"/>
          <w:szCs w:val="24"/>
        </w:rPr>
        <w:t xml:space="preserve"> справ </w:t>
      </w:r>
      <w:proofErr w:type="spellStart"/>
      <w:r>
        <w:rPr>
          <w:sz w:val="24"/>
          <w:szCs w:val="24"/>
        </w:rPr>
        <w:t>України</w:t>
      </w:r>
      <w:proofErr w:type="spellEnd"/>
    </w:p>
    <w:p w:rsidR="00CA068C" w:rsidRDefault="00CA068C" w:rsidP="00CA068C">
      <w:pPr>
        <w:spacing w:after="0"/>
        <w:ind w:left="6860"/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10.08.2018  № 635</w:t>
      </w:r>
    </w:p>
    <w:p w:rsidR="00CA068C" w:rsidRDefault="00CA068C" w:rsidP="00CA068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CA068C" w:rsidRDefault="00CA068C" w:rsidP="00CA068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УМОВИ </w:t>
      </w:r>
    </w:p>
    <w:p w:rsidR="00CA068C" w:rsidRDefault="00CA068C" w:rsidP="00CA068C">
      <w:pPr>
        <w:pStyle w:val="rvps12"/>
        <w:tabs>
          <w:tab w:val="left" w:pos="8222"/>
          <w:tab w:val="left" w:pos="8789"/>
        </w:tabs>
        <w:spacing w:before="0" w:beforeAutospacing="0" w:after="0" w:afterAutospacing="0"/>
        <w:ind w:left="1276" w:right="11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конкурсу на зайняття вакантної посади</w:t>
      </w:r>
      <w:r>
        <w:rPr>
          <w:rStyle w:val="rvts15"/>
          <w:b/>
          <w:sz w:val="28"/>
          <w:szCs w:val="28"/>
          <w:lang w:val="uk-UA"/>
        </w:rPr>
        <w:t xml:space="preserve"> </w:t>
      </w:r>
      <w:r>
        <w:rPr>
          <w:rStyle w:val="rvts15"/>
          <w:sz w:val="28"/>
          <w:szCs w:val="28"/>
          <w:lang w:val="uk-UA"/>
        </w:rPr>
        <w:t>завідувача сектору цивільного захисту</w:t>
      </w:r>
      <w:r>
        <w:rPr>
          <w:sz w:val="28"/>
          <w:szCs w:val="28"/>
          <w:lang w:val="uk-UA"/>
        </w:rPr>
        <w:t xml:space="preserve"> Відділу мобілізаційної роботи, організації бронювання та цивільного захисту Міністерства внутрішніх справ України</w:t>
      </w:r>
    </w:p>
    <w:p w:rsidR="00CA068C" w:rsidRDefault="00CA068C" w:rsidP="00CA068C">
      <w:pPr>
        <w:pStyle w:val="rvps12"/>
        <w:spacing w:before="0" w:beforeAutospacing="0" w:after="0" w:afterAutospacing="0"/>
        <w:ind w:left="840" w:right="56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57"/>
        <w:gridCol w:w="3691"/>
        <w:gridCol w:w="5423"/>
      </w:tblGrid>
      <w:tr w:rsidR="00CA068C" w:rsidTr="00CA068C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pStyle w:val="a4"/>
              <w:spacing w:before="120"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CA068C" w:rsidTr="00CA068C">
        <w:trPr>
          <w:trHeight w:val="277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t>Посадові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 xml:space="preserve">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ind w:firstLine="459"/>
              <w:jc w:val="both"/>
              <w:rPr>
                <w:lang w:val="uk-UA"/>
              </w:rPr>
            </w:pPr>
            <w:r w:rsidRPr="00CA068C">
              <w:rPr>
                <w:bCs/>
                <w:lang w:val="uk-UA"/>
              </w:rPr>
              <w:t>Організує заходи</w:t>
            </w:r>
            <w:r w:rsidRPr="00CA068C">
              <w:rPr>
                <w:lang w:val="uk-UA"/>
              </w:rPr>
              <w:t xml:space="preserve"> цивільного захисту в </w:t>
            </w:r>
            <w:r w:rsidRPr="00CA068C">
              <w:rPr>
                <w:bCs/>
                <w:lang w:val="uk-UA"/>
              </w:rPr>
              <w:t>МВС</w:t>
            </w:r>
            <w:r w:rsidRPr="00CA068C">
              <w:rPr>
                <w:lang w:val="uk-UA"/>
              </w:rPr>
              <w:t xml:space="preserve"> та роботу сектору цивільного захисту, забезпечує якісне і ефективне виконання покладених на сектор цивільного захисту завдань і функцій, а також контроль за службовою діяльністю підпорядкованих працівників. </w:t>
            </w:r>
          </w:p>
          <w:p w:rsidR="00CA068C" w:rsidRDefault="00CA068C">
            <w:pPr>
              <w:pStyle w:val="-1"/>
              <w:tabs>
                <w:tab w:val="right" w:pos="9360"/>
              </w:tabs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Розробляє проект плану цивільного захисту МВС, інші організаційно-планові документи, нормативно-правові акти та методичні рекомендації з питань цивільного захисту. </w:t>
            </w:r>
          </w:p>
          <w:p w:rsidR="00CA068C" w:rsidRPr="00CA068C" w:rsidRDefault="00CA068C">
            <w:pPr>
              <w:shd w:val="clear" w:color="auto" w:fill="FFFFFF"/>
              <w:ind w:firstLine="459"/>
              <w:jc w:val="both"/>
              <w:rPr>
                <w:lang w:val="uk-UA"/>
              </w:rPr>
            </w:pPr>
            <w:r w:rsidRPr="00CA068C">
              <w:rPr>
                <w:lang w:val="uk-UA"/>
              </w:rPr>
              <w:t xml:space="preserve">Приймає участь у командно-штабних навчаннях (штабних тренуваннях) з органами управління та силами цивільного захисту територіальних підсистем єдиної державної системи цивільного захисту щодо вирішення завдань цивільного захисту у мирний час та в особливий період. </w:t>
            </w:r>
          </w:p>
          <w:p w:rsidR="00CA068C" w:rsidRDefault="00CA068C">
            <w:pPr>
              <w:shd w:val="clear" w:color="auto" w:fill="FFFFFF"/>
              <w:ind w:firstLine="459"/>
              <w:jc w:val="both"/>
            </w:pPr>
            <w:proofErr w:type="spellStart"/>
            <w:r>
              <w:t>Організовує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фонду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в органах МВС</w:t>
            </w:r>
            <w:r>
              <w:rPr>
                <w:bCs/>
              </w:rPr>
              <w:t>.</w:t>
            </w:r>
          </w:p>
          <w:p w:rsidR="00CA068C" w:rsidRDefault="00CA068C">
            <w:pPr>
              <w:jc w:val="both"/>
            </w:pPr>
            <w:r>
              <w:t xml:space="preserve">       </w:t>
            </w: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доручень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</w:t>
            </w:r>
            <w:proofErr w:type="spellStart"/>
            <w:r>
              <w:t>керівництва</w:t>
            </w:r>
            <w:proofErr w:type="spellEnd"/>
            <w:r>
              <w:t xml:space="preserve"> МВС,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покладено</w:t>
            </w:r>
            <w:proofErr w:type="spellEnd"/>
            <w:r>
              <w:t xml:space="preserve"> на сектор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>.</w:t>
            </w:r>
          </w:p>
          <w:p w:rsidR="00CA068C" w:rsidRDefault="00CA068C">
            <w:pPr>
              <w:ind w:firstLine="430"/>
              <w:jc w:val="both"/>
            </w:pP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строків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до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 xml:space="preserve"> та </w:t>
            </w:r>
            <w:proofErr w:type="spellStart"/>
            <w:r>
              <w:t>установ</w:t>
            </w:r>
            <w:proofErr w:type="spellEnd"/>
            <w:r>
              <w:t xml:space="preserve"> на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запити</w:t>
            </w:r>
            <w:proofErr w:type="spellEnd"/>
            <w:r>
              <w:t xml:space="preserve"> та </w:t>
            </w:r>
            <w:proofErr w:type="spellStart"/>
            <w:r>
              <w:t>листи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взяті</w:t>
            </w:r>
            <w:proofErr w:type="spellEnd"/>
            <w:r>
              <w:t xml:space="preserve"> на контроль сектором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>.</w:t>
            </w:r>
          </w:p>
          <w:p w:rsidR="00CA068C" w:rsidRDefault="00CA068C">
            <w:pPr>
              <w:ind w:firstLine="430"/>
              <w:jc w:val="both"/>
            </w:pP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сектору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захисту</w:t>
            </w:r>
            <w:proofErr w:type="spellEnd"/>
            <w:r>
              <w:t xml:space="preserve"> та </w:t>
            </w:r>
            <w:proofErr w:type="spellStart"/>
            <w:r>
              <w:t>розподіл</w:t>
            </w:r>
            <w:proofErr w:type="spellEnd"/>
            <w:r>
              <w:t xml:space="preserve"> </w:t>
            </w:r>
            <w:proofErr w:type="spellStart"/>
            <w:r>
              <w:t>обов’язків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ідпорядкованими</w:t>
            </w:r>
            <w:proofErr w:type="spellEnd"/>
            <w:r>
              <w:t xml:space="preserve"> </w:t>
            </w:r>
            <w:proofErr w:type="spellStart"/>
            <w:r>
              <w:t>працівниками</w:t>
            </w:r>
            <w:proofErr w:type="spellEnd"/>
            <w:r>
              <w:t>.</w:t>
            </w:r>
          </w:p>
          <w:p w:rsidR="00CA068C" w:rsidRDefault="00CA068C">
            <w:pPr>
              <w:tabs>
                <w:tab w:val="left" w:pos="249"/>
              </w:tabs>
              <w:suppressAutoHyphens/>
              <w:ind w:firstLine="459"/>
              <w:jc w:val="both"/>
              <w:rPr>
                <w:lang w:val="uk-UA"/>
              </w:rPr>
            </w:pP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заходи, </w:t>
            </w:r>
            <w:proofErr w:type="spellStart"/>
            <w:proofErr w:type="gramStart"/>
            <w:r>
              <w:t>пов'язан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реалізацією</w:t>
            </w:r>
            <w:proofErr w:type="spellEnd"/>
            <w:r>
              <w:t xml:space="preserve"> </w:t>
            </w:r>
            <w:proofErr w:type="spellStart"/>
            <w:r>
              <w:t>покладених</w:t>
            </w:r>
            <w:proofErr w:type="spellEnd"/>
            <w:r>
              <w:t xml:space="preserve"> на сектор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та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</w:tc>
      </w:tr>
      <w:tr w:rsidR="00CA068C" w:rsidTr="00CA068C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lastRenderedPageBreak/>
              <w:t>Умови</w:t>
            </w:r>
            <w:proofErr w:type="spellEnd"/>
            <w:r>
              <w:t xml:space="preserve"> оплати </w:t>
            </w:r>
            <w:proofErr w:type="spellStart"/>
            <w:r>
              <w:t>праці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Посадовий</w:t>
            </w:r>
            <w:proofErr w:type="spellEnd"/>
            <w:r>
              <w:t xml:space="preserve"> оклад – 9840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</w:tr>
      <w:tr w:rsidR="00CA068C" w:rsidTr="00CA068C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r>
              <w:t xml:space="preserve">Надбавка до </w:t>
            </w:r>
            <w:proofErr w:type="spellStart"/>
            <w:r>
              <w:t>посадового</w:t>
            </w:r>
            <w:proofErr w:type="spellEnd"/>
            <w:r>
              <w:t xml:space="preserve"> окладу за ранг </w:t>
            </w:r>
            <w:proofErr w:type="spellStart"/>
            <w:r>
              <w:t>відповідно</w:t>
            </w:r>
            <w:proofErr w:type="spellEnd"/>
            <w:r>
              <w:t xml:space="preserve"> до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18.01.2017   № 15 «</w:t>
            </w:r>
            <w:proofErr w:type="spellStart"/>
            <w:r>
              <w:t>Питання</w:t>
            </w:r>
            <w:proofErr w:type="spellEnd"/>
            <w:r>
              <w:t xml:space="preserve">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>».</w:t>
            </w:r>
          </w:p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r>
              <w:t>Надбавки та доплати (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                         52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службу»).</w:t>
            </w:r>
          </w:p>
        </w:tc>
      </w:tr>
      <w:tr w:rsidR="00CA068C" w:rsidTr="00CA068C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строковість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безстроковість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Безстроково</w:t>
            </w:r>
            <w:proofErr w:type="spellEnd"/>
            <w:r>
              <w:t>.</w:t>
            </w:r>
          </w:p>
        </w:tc>
      </w:tr>
      <w:tr w:rsidR="00CA068C" w:rsidTr="00CA068C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t>Перелі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конкурсі</w:t>
            </w:r>
            <w:proofErr w:type="spellEnd"/>
            <w:r>
              <w:t xml:space="preserve">, та строк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</w:tc>
      </w:tr>
      <w:tr w:rsidR="00CA068C" w:rsidTr="00CA068C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Письмова</w:t>
            </w:r>
            <w:proofErr w:type="spellEnd"/>
            <w:r>
              <w:t xml:space="preserve"> </w:t>
            </w:r>
            <w:proofErr w:type="spellStart"/>
            <w:r>
              <w:t>заява</w:t>
            </w:r>
            <w:proofErr w:type="spellEnd"/>
            <w:r>
              <w:t xml:space="preserve"> про участь у </w:t>
            </w:r>
            <w:proofErr w:type="spellStart"/>
            <w:r>
              <w:t>конкурсі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зазначенням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 до </w:t>
            </w:r>
            <w:proofErr w:type="spellStart"/>
            <w:r>
              <w:t>зайняття</w:t>
            </w:r>
            <w:proofErr w:type="spellEnd"/>
            <w:r>
              <w:t xml:space="preserve"> посади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до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 резюме </w:t>
            </w:r>
            <w:proofErr w:type="gramStart"/>
            <w:r>
              <w:t xml:space="preserve">в </w:t>
            </w:r>
            <w:proofErr w:type="spellStart"/>
            <w:r>
              <w:t>дов</w:t>
            </w:r>
            <w:proofErr w:type="gramEnd"/>
            <w:r>
              <w:t>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>.</w:t>
            </w:r>
          </w:p>
        </w:tc>
      </w:tr>
      <w:tr w:rsidR="00CA068C" w:rsidTr="00CA068C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Письмова</w:t>
            </w:r>
            <w:proofErr w:type="spellEnd"/>
            <w:r>
              <w:t xml:space="preserve"> </w:t>
            </w:r>
            <w:proofErr w:type="spellStart"/>
            <w:r>
              <w:t>заява</w:t>
            </w:r>
            <w:proofErr w:type="spellEnd"/>
            <w:r>
              <w:t xml:space="preserve">, в </w:t>
            </w:r>
            <w:proofErr w:type="spellStart"/>
            <w:r>
              <w:t>якій</w:t>
            </w:r>
            <w:proofErr w:type="spellEnd"/>
            <w:r>
              <w:t xml:space="preserve"> особа </w:t>
            </w:r>
            <w:proofErr w:type="spellStart"/>
            <w:r>
              <w:t>повідомляє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до </w:t>
            </w:r>
            <w:proofErr w:type="spellStart"/>
            <w:r>
              <w:t>неї</w:t>
            </w:r>
            <w:proofErr w:type="spellEnd"/>
            <w:r>
              <w:t xml:space="preserve"> </w:t>
            </w:r>
            <w:proofErr w:type="gramStart"/>
            <w:r>
              <w:t>не</w:t>
            </w:r>
            <w:proofErr w:type="gramEnd"/>
            <w:r>
              <w:t xml:space="preserve"> </w:t>
            </w:r>
            <w:proofErr w:type="spellStart"/>
            <w:r>
              <w:t>застосовуються</w:t>
            </w:r>
            <w:proofErr w:type="spellEnd"/>
            <w:r>
              <w:t xml:space="preserve"> заборони,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hyperlink r:id="rId5" w:anchor="n13" w:tgtFrame="_blank" w:history="1">
              <w:proofErr w:type="spellStart"/>
              <w:r>
                <w:rPr>
                  <w:rStyle w:val="a5"/>
                </w:rPr>
                <w:t>частиною</w:t>
              </w:r>
              <w:proofErr w:type="spellEnd"/>
              <w:r>
                <w:rPr>
                  <w:rStyle w:val="a5"/>
                </w:rPr>
                <w:t xml:space="preserve"> </w:t>
              </w:r>
              <w:proofErr w:type="spellStart"/>
              <w:r>
                <w:rPr>
                  <w:rStyle w:val="a5"/>
                </w:rPr>
                <w:t>третьою</w:t>
              </w:r>
              <w:proofErr w:type="spellEnd"/>
            </w:hyperlink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hyperlink r:id="rId6" w:anchor="n14" w:tgtFrame="_blank" w:history="1">
              <w:r>
                <w:rPr>
                  <w:rStyle w:val="a5"/>
                </w:rPr>
                <w:t>четвертою</w:t>
              </w:r>
            </w:hyperlink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1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очищення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», та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на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 та </w:t>
            </w: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неї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зазначеного</w:t>
            </w:r>
            <w:proofErr w:type="spellEnd"/>
            <w:r>
              <w:t xml:space="preserve"> Закону.</w:t>
            </w:r>
          </w:p>
        </w:tc>
      </w:tr>
      <w:tr w:rsidR="00CA068C" w:rsidTr="00CA068C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Копія</w:t>
            </w:r>
            <w:proofErr w:type="spellEnd"/>
            <w:r>
              <w:t xml:space="preserve"> (</w:t>
            </w:r>
            <w:proofErr w:type="spellStart"/>
            <w:r>
              <w:t>копії</w:t>
            </w:r>
            <w:proofErr w:type="spellEnd"/>
            <w:r>
              <w:t>) документа (</w:t>
            </w:r>
            <w:proofErr w:type="spellStart"/>
            <w:r>
              <w:t>документів</w:t>
            </w:r>
            <w:proofErr w:type="spellEnd"/>
            <w:r>
              <w:t xml:space="preserve">) про </w:t>
            </w:r>
            <w:proofErr w:type="spellStart"/>
            <w:r>
              <w:t>освіту</w:t>
            </w:r>
            <w:proofErr w:type="spellEnd"/>
            <w:r>
              <w:t>.</w:t>
            </w:r>
          </w:p>
        </w:tc>
      </w:tr>
      <w:tr w:rsidR="00CA068C" w:rsidTr="00CA068C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Оригінал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gramStart"/>
            <w:r>
              <w:t>державною</w:t>
            </w:r>
            <w:proofErr w:type="gram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.</w:t>
            </w:r>
          </w:p>
        </w:tc>
      </w:tr>
      <w:tr w:rsidR="00CA068C" w:rsidTr="00CA068C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Заповнена</w:t>
            </w:r>
            <w:proofErr w:type="spellEnd"/>
            <w:r>
              <w:t xml:space="preserve"> </w:t>
            </w:r>
            <w:proofErr w:type="spellStart"/>
            <w:r>
              <w:t>особова</w:t>
            </w:r>
            <w:proofErr w:type="spellEnd"/>
            <w:r>
              <w:t xml:space="preserve"> </w:t>
            </w:r>
            <w:proofErr w:type="spellStart"/>
            <w:r>
              <w:t>картка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.</w:t>
            </w:r>
          </w:p>
        </w:tc>
      </w:tr>
      <w:tr w:rsidR="00CA068C" w:rsidTr="00CA068C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Декларація</w:t>
            </w:r>
            <w:proofErr w:type="spellEnd"/>
            <w:r>
              <w:t xml:space="preserve"> особи, </w:t>
            </w:r>
            <w:proofErr w:type="spellStart"/>
            <w:r>
              <w:t>уповноваженої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функцій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за </w:t>
            </w:r>
            <w:proofErr w:type="spellStart"/>
            <w:r>
              <w:t>минулий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. </w:t>
            </w:r>
          </w:p>
        </w:tc>
      </w:tr>
      <w:tr w:rsidR="00CA068C" w:rsidTr="00CA068C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r>
              <w:t xml:space="preserve">Особа, яка </w:t>
            </w:r>
            <w:proofErr w:type="spellStart"/>
            <w:r>
              <w:t>виявила</w:t>
            </w:r>
            <w:proofErr w:type="spellEnd"/>
            <w:r>
              <w:t xml:space="preserve"> </w:t>
            </w:r>
            <w:proofErr w:type="spellStart"/>
            <w:r>
              <w:t>бажання</w:t>
            </w:r>
            <w:proofErr w:type="spellEnd"/>
            <w:r>
              <w:t xml:space="preserve"> </w:t>
            </w:r>
            <w:proofErr w:type="spellStart"/>
            <w:r>
              <w:t>взяти</w:t>
            </w:r>
            <w:proofErr w:type="spellEnd"/>
            <w:r>
              <w:t xml:space="preserve"> участь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конкурс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репутації</w:t>
            </w:r>
            <w:proofErr w:type="spellEnd"/>
            <w:r>
              <w:t xml:space="preserve"> (характеристики, </w:t>
            </w:r>
            <w:proofErr w:type="spellStart"/>
            <w:r>
              <w:t>рекомендації</w:t>
            </w:r>
            <w:proofErr w:type="spellEnd"/>
            <w:r>
              <w:t xml:space="preserve">,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публікації</w:t>
            </w:r>
            <w:proofErr w:type="spellEnd"/>
            <w:r>
              <w:t xml:space="preserve"> та </w:t>
            </w:r>
            <w:proofErr w:type="spellStart"/>
            <w:r>
              <w:lastRenderedPageBreak/>
              <w:t>інші</w:t>
            </w:r>
            <w:proofErr w:type="spellEnd"/>
            <w:r>
              <w:t>).</w:t>
            </w:r>
          </w:p>
        </w:tc>
      </w:tr>
      <w:tr w:rsidR="00CA068C" w:rsidTr="00CA068C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для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приймаються</w:t>
            </w:r>
            <w:proofErr w:type="spellEnd"/>
            <w:r>
              <w:t xml:space="preserve"> до 18.00 – 06 </w:t>
            </w:r>
            <w:proofErr w:type="spellStart"/>
            <w:r>
              <w:t>вересня</w:t>
            </w:r>
            <w:proofErr w:type="spellEnd"/>
            <w:r>
              <w:t xml:space="preserve"> 2018 року.</w:t>
            </w:r>
          </w:p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Богомольця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10, м"/>
              </w:smartTagPr>
              <w:r>
                <w:t>10, м</w:t>
              </w:r>
            </w:smartTag>
            <w:r>
              <w:t xml:space="preserve">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</w:p>
        </w:tc>
      </w:tr>
      <w:tr w:rsidR="00CA068C" w:rsidTr="00CA068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, час та дата початку </w:t>
            </w:r>
            <w:proofErr w:type="spellStart"/>
            <w:r>
              <w:t>проведення</w:t>
            </w:r>
            <w:proofErr w:type="spellEnd"/>
            <w:r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Пилипа</w:t>
            </w:r>
            <w:proofErr w:type="spellEnd"/>
            <w:r>
              <w:t xml:space="preserve"> Орлика, 16/12, м.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кім</w:t>
            </w:r>
            <w:proofErr w:type="spellEnd"/>
            <w:r>
              <w:t xml:space="preserve"> 307,                             о 10.00 - 11 </w:t>
            </w:r>
            <w:proofErr w:type="spellStart"/>
            <w:r>
              <w:t>вересня</w:t>
            </w:r>
            <w:proofErr w:type="spellEnd"/>
            <w:r>
              <w:t xml:space="preserve"> 2018 року (</w:t>
            </w:r>
            <w:proofErr w:type="spellStart"/>
            <w:r>
              <w:t>тестування</w:t>
            </w:r>
            <w:proofErr w:type="spellEnd"/>
            <w:r>
              <w:t>)</w:t>
            </w:r>
          </w:p>
        </w:tc>
      </w:tr>
      <w:tr w:rsidR="00CA068C" w:rsidTr="00CA068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, номер телефону та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особи, яка </w:t>
            </w:r>
            <w:proofErr w:type="spellStart"/>
            <w:r>
              <w:t>надає</w:t>
            </w:r>
            <w:proofErr w:type="spellEnd"/>
            <w:r>
              <w:t xml:space="preserve">  </w:t>
            </w:r>
            <w:proofErr w:type="spellStart"/>
            <w:r>
              <w:t>інформацію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spacing w:before="120"/>
              <w:rPr>
                <w:lang w:val="uk-UA"/>
              </w:rPr>
            </w:pPr>
            <w:r>
              <w:t xml:space="preserve">Пивовар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  <w:r>
              <w:t xml:space="preserve">, (044) 254-96-13, </w:t>
            </w:r>
          </w:p>
          <w:p w:rsidR="00CA068C" w:rsidRDefault="00CA068C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lang w:val="en-US"/>
              </w:rPr>
              <w:t>vmrob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mvs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A068C" w:rsidTr="00CA068C">
        <w:tc>
          <w:tcPr>
            <w:tcW w:w="9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8C" w:rsidRDefault="00CA068C">
            <w:pPr>
              <w:pStyle w:val="a3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CA068C" w:rsidTr="00CA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CA068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за </w:t>
            </w:r>
            <w:proofErr w:type="spellStart"/>
            <w:r>
              <w:t>освітнім</w:t>
            </w:r>
            <w:proofErr w:type="spellEnd"/>
            <w:r>
              <w:t xml:space="preserve"> </w:t>
            </w:r>
            <w:proofErr w:type="spellStart"/>
            <w:r>
              <w:t>ступенем</w:t>
            </w:r>
            <w:proofErr w:type="spellEnd"/>
            <w:r>
              <w:t xml:space="preserve"> не </w:t>
            </w:r>
            <w:proofErr w:type="spellStart"/>
            <w:r>
              <w:t>нижче</w:t>
            </w:r>
            <w:proofErr w:type="spellEnd"/>
            <w:r>
              <w:t xml:space="preserve"> </w:t>
            </w:r>
            <w:proofErr w:type="spellStart"/>
            <w:r>
              <w:t>магістра</w:t>
            </w:r>
            <w:proofErr w:type="spellEnd"/>
            <w:r>
              <w:t>.</w:t>
            </w:r>
          </w:p>
        </w:tc>
      </w:tr>
      <w:tr w:rsidR="00CA068C" w:rsidTr="00CA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CA068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посадах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«Б» </w:t>
            </w:r>
            <w:proofErr w:type="spellStart"/>
            <w:r>
              <w:t>чи</w:t>
            </w:r>
            <w:proofErr w:type="spellEnd"/>
            <w:r>
              <w:t xml:space="preserve"> «В»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</w:t>
            </w:r>
            <w:proofErr w:type="spellStart"/>
            <w:r>
              <w:t>керівних</w:t>
            </w:r>
            <w:proofErr w:type="spellEnd"/>
            <w:r>
              <w:t xml:space="preserve"> посадах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>.</w:t>
            </w:r>
          </w:p>
        </w:tc>
      </w:tr>
      <w:tr w:rsidR="00CA068C" w:rsidTr="00CA068C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CA068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t>Володіння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both"/>
              <w:rPr>
                <w:lang w:val="uk-UA"/>
              </w:rPr>
            </w:pPr>
            <w:proofErr w:type="spellStart"/>
            <w:proofErr w:type="gramStart"/>
            <w:r>
              <w:t>В</w:t>
            </w:r>
            <w:proofErr w:type="gramEnd"/>
            <w:r>
              <w:t>ільне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  <w:r>
              <w:t>.</w:t>
            </w:r>
          </w:p>
        </w:tc>
      </w:tr>
      <w:tr w:rsidR="00CA068C" w:rsidTr="00CA068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CA068C" w:rsidTr="00CA068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Компоненти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CA068C" w:rsidRPr="00CA068C" w:rsidTr="00CA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31248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spacing w:beforeAutospacing="0" w:afterAutospacing="0"/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>
              <w:rPr>
                <w:sz w:val="22"/>
                <w:szCs w:val="22"/>
              </w:rPr>
              <w:t>Power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Point</w:t>
            </w:r>
            <w:proofErr w:type="spellEnd"/>
            <w:r>
              <w:rPr>
                <w:sz w:val="22"/>
                <w:szCs w:val="22"/>
              </w:rPr>
              <w:t>); навички роботи з інформаційно-пошуковими системами в мережі Інтернет.</w:t>
            </w:r>
          </w:p>
        </w:tc>
      </w:tr>
      <w:tr w:rsidR="00CA068C" w:rsidRPr="00CA068C" w:rsidTr="00CA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31248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spacing w:beforeAutospacing="0" w:afterAutospacing="0"/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CA068C" w:rsidRDefault="00CA06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</w:t>
            </w:r>
            <w:proofErr w:type="spellStart"/>
            <w:r>
              <w:rPr>
                <w:sz w:val="22"/>
                <w:szCs w:val="22"/>
              </w:rPr>
              <w:t>стресостійкість</w:t>
            </w:r>
            <w:proofErr w:type="spellEnd"/>
            <w:r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CA068C" w:rsidRPr="00CA068C" w:rsidTr="00CA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31248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spacing w:beforeAutospacing="0" w:afterAutospacing="0"/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CA068C" w:rsidTr="00CA068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8C" w:rsidRDefault="00CA068C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068C" w:rsidRDefault="00CA068C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CA068C" w:rsidTr="00CA068C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C" w:rsidRDefault="00CA068C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Компоненти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CA068C" w:rsidTr="00CA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312480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172"/>
              </w:tabs>
              <w:suppressAutoHyphens/>
              <w:ind w:left="-48"/>
              <w:jc w:val="both"/>
              <w:rPr>
                <w:lang w:val="uk-UA"/>
              </w:rPr>
            </w:pPr>
            <w:proofErr w:type="spellStart"/>
            <w:r>
              <w:t>Конституції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CA068C" w:rsidRDefault="00CA068C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lastRenderedPageBreak/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службу»;</w:t>
            </w:r>
          </w:p>
          <w:p w:rsidR="00CA068C" w:rsidRDefault="00CA068C">
            <w:pPr>
              <w:tabs>
                <w:tab w:val="left" w:pos="172"/>
              </w:tabs>
              <w:suppressAutoHyphens/>
              <w:ind w:left="-48"/>
              <w:jc w:val="both"/>
              <w:rPr>
                <w:lang w:val="uk-UA"/>
              </w:rPr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корупції</w:t>
            </w:r>
            <w:proofErr w:type="spellEnd"/>
            <w:r>
              <w:t>».</w:t>
            </w:r>
          </w:p>
        </w:tc>
      </w:tr>
      <w:tr w:rsidR="00CA068C" w:rsidTr="00CA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312480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spacing w:before="120"/>
              <w:jc w:val="both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Знання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пов’язане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завданнями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змістом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</w:rPr>
              <w:t>службовця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відповідно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посадової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інструкції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положення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структурний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ідрозділ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jc w:val="both"/>
              <w:rPr>
                <w:lang w:val="uk-UA"/>
              </w:rPr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мобілізаційну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ідготовку</w:t>
            </w:r>
            <w:proofErr w:type="spellEnd"/>
            <w:r>
              <w:t xml:space="preserve"> та </w:t>
            </w:r>
            <w:proofErr w:type="spellStart"/>
            <w:r>
              <w:t>мобілізацію</w:t>
            </w:r>
            <w:proofErr w:type="spellEnd"/>
            <w:r>
              <w:t>»;</w:t>
            </w:r>
          </w:p>
          <w:p w:rsidR="00CA068C" w:rsidRDefault="00CA068C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Кодекс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»;</w:t>
            </w:r>
          </w:p>
          <w:p w:rsidR="00CA068C" w:rsidRDefault="00CA068C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правовий</w:t>
            </w:r>
            <w:proofErr w:type="spellEnd"/>
            <w:r>
              <w:t xml:space="preserve"> режим </w:t>
            </w:r>
            <w:proofErr w:type="spellStart"/>
            <w:r>
              <w:t>надзвичайного</w:t>
            </w:r>
            <w:proofErr w:type="spellEnd"/>
            <w:r>
              <w:t xml:space="preserve"> стану»;</w:t>
            </w:r>
          </w:p>
          <w:p w:rsidR="00CA068C" w:rsidRDefault="00CA068C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Національну</w:t>
            </w:r>
            <w:proofErr w:type="spellEnd"/>
            <w:r>
              <w:t xml:space="preserve"> </w:t>
            </w:r>
            <w:proofErr w:type="spellStart"/>
            <w:r>
              <w:t>гвардію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»;</w:t>
            </w:r>
          </w:p>
          <w:p w:rsidR="00CA068C" w:rsidRDefault="00CA068C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Національну</w:t>
            </w:r>
            <w:proofErr w:type="spellEnd"/>
            <w:r>
              <w:t xml:space="preserve"> </w:t>
            </w:r>
            <w:proofErr w:type="spellStart"/>
            <w:r>
              <w:t>поліцію</w:t>
            </w:r>
            <w:proofErr w:type="spellEnd"/>
            <w:r>
              <w:t>»;</w:t>
            </w:r>
          </w:p>
          <w:p w:rsidR="00CA068C" w:rsidRDefault="00CA068C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прикордонну</w:t>
            </w:r>
            <w:proofErr w:type="spellEnd"/>
            <w:r>
              <w:t xml:space="preserve"> службу </w:t>
            </w:r>
            <w:proofErr w:type="spellStart"/>
            <w:r>
              <w:t>України</w:t>
            </w:r>
            <w:proofErr w:type="spellEnd"/>
            <w:r>
              <w:t>»;</w:t>
            </w:r>
          </w:p>
          <w:p w:rsidR="00CA068C" w:rsidRDefault="00CA068C">
            <w:pPr>
              <w:jc w:val="both"/>
            </w:pPr>
            <w:r>
              <w:t xml:space="preserve">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грудня</w:t>
            </w:r>
            <w:proofErr w:type="spellEnd"/>
            <w:r>
              <w:t xml:space="preserve"> 2015 року № 1052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службу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>»;</w:t>
            </w:r>
          </w:p>
          <w:p w:rsidR="00CA068C" w:rsidRDefault="00CA068C">
            <w:pPr>
              <w:jc w:val="both"/>
            </w:pPr>
            <w:r>
              <w:t xml:space="preserve">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січня</w:t>
            </w:r>
            <w:proofErr w:type="spellEnd"/>
            <w:r>
              <w:t xml:space="preserve">  2014 року № 11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єдину</w:t>
            </w:r>
            <w:proofErr w:type="spellEnd"/>
            <w:r>
              <w:t xml:space="preserve"> </w:t>
            </w:r>
            <w:proofErr w:type="spellStart"/>
            <w:r>
              <w:t>державну</w:t>
            </w:r>
            <w:proofErr w:type="spellEnd"/>
            <w:r>
              <w:t xml:space="preserve"> систему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>»;</w:t>
            </w:r>
          </w:p>
          <w:p w:rsidR="00CA068C" w:rsidRDefault="00CA068C">
            <w:pPr>
              <w:widowControl w:val="0"/>
              <w:jc w:val="both"/>
              <w:rPr>
                <w:lang w:val="uk-UA"/>
              </w:rPr>
            </w:pPr>
            <w:r>
              <w:t xml:space="preserve">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30 </w:t>
            </w:r>
            <w:proofErr w:type="spellStart"/>
            <w:r>
              <w:t>жовтня</w:t>
            </w:r>
            <w:proofErr w:type="spellEnd"/>
            <w:r>
              <w:t xml:space="preserve">  2013 року № 841 «</w:t>
            </w:r>
            <w:r>
              <w:rPr>
                <w:rStyle w:val="rvts23"/>
              </w:rPr>
              <w:t xml:space="preserve">Про </w:t>
            </w:r>
            <w:proofErr w:type="spellStart"/>
            <w:r>
              <w:rPr>
                <w:rStyle w:val="rvts23"/>
              </w:rPr>
              <w:t>затвердження</w:t>
            </w:r>
            <w:proofErr w:type="spellEnd"/>
            <w:r>
              <w:rPr>
                <w:rStyle w:val="rvts23"/>
              </w:rPr>
              <w:t xml:space="preserve"> Порядку </w:t>
            </w:r>
            <w:proofErr w:type="spellStart"/>
            <w:r>
              <w:rPr>
                <w:rStyle w:val="rvts23"/>
              </w:rPr>
              <w:t>проведення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евакуації</w:t>
            </w:r>
            <w:proofErr w:type="spellEnd"/>
            <w:r>
              <w:rPr>
                <w:rStyle w:val="rvts23"/>
              </w:rPr>
              <w:t xml:space="preserve"> у </w:t>
            </w:r>
            <w:proofErr w:type="spellStart"/>
            <w:r>
              <w:rPr>
                <w:rStyle w:val="rvts23"/>
              </w:rPr>
              <w:t>разі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загрози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виникнення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або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виникнення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надзвичайних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ситуацій</w:t>
            </w:r>
            <w:proofErr w:type="spellEnd"/>
            <w:r>
              <w:rPr>
                <w:rStyle w:val="rvts23"/>
              </w:rPr>
              <w:t>».</w:t>
            </w:r>
          </w:p>
        </w:tc>
      </w:tr>
      <w:tr w:rsidR="00CA068C" w:rsidTr="00CA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C" w:rsidRDefault="00CA068C" w:rsidP="00312480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spacing w:before="120"/>
              <w:jc w:val="both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C" w:rsidRDefault="00CA068C">
            <w:pPr>
              <w:tabs>
                <w:tab w:val="left" w:pos="172"/>
              </w:tabs>
              <w:suppressAutoHyphens/>
              <w:ind w:left="-48"/>
              <w:jc w:val="both"/>
              <w:rPr>
                <w:lang w:val="uk-UA"/>
              </w:rPr>
            </w:pPr>
            <w:r>
              <w:t xml:space="preserve">        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аналі</w:t>
            </w:r>
            <w:proofErr w:type="gramStart"/>
            <w:r>
              <w:t>зу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тлумачення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та </w:t>
            </w:r>
            <w:proofErr w:type="spellStart"/>
            <w:r>
              <w:t>застосовування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>;</w:t>
            </w:r>
          </w:p>
          <w:p w:rsidR="00CA068C" w:rsidRDefault="00CA068C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    </w:t>
            </w:r>
            <w:proofErr w:type="spellStart"/>
            <w:r>
              <w:t>знання</w:t>
            </w:r>
            <w:proofErr w:type="spellEnd"/>
            <w:r>
              <w:t xml:space="preserve"> порядку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нормативно-правових</w:t>
            </w:r>
            <w:proofErr w:type="spellEnd"/>
            <w:r>
              <w:t xml:space="preserve"> та </w:t>
            </w:r>
            <w:proofErr w:type="spellStart"/>
            <w:r>
              <w:t>розпорядчих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погодження</w:t>
            </w:r>
            <w:proofErr w:type="spellEnd"/>
            <w:r>
              <w:t xml:space="preserve"> та </w:t>
            </w:r>
            <w:proofErr w:type="spellStart"/>
            <w:r>
              <w:t>візування</w:t>
            </w:r>
            <w:proofErr w:type="spellEnd"/>
            <w:r>
              <w:t>;</w:t>
            </w:r>
          </w:p>
          <w:p w:rsidR="00CA068C" w:rsidRDefault="00CA068C">
            <w:pPr>
              <w:tabs>
                <w:tab w:val="left" w:pos="172"/>
              </w:tabs>
              <w:suppressAutoHyphens/>
              <w:ind w:left="-48" w:firstLine="336"/>
              <w:jc w:val="both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ізними</w:t>
            </w:r>
            <w:proofErr w:type="spellEnd"/>
            <w:r>
              <w:t xml:space="preserve"> </w:t>
            </w:r>
            <w:proofErr w:type="spellStart"/>
            <w:r>
              <w:t>джерелами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різнорідними</w:t>
            </w:r>
            <w:proofErr w:type="spell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 (</w:t>
            </w:r>
            <w:proofErr w:type="spellStart"/>
            <w:r>
              <w:t>статистичними</w:t>
            </w:r>
            <w:proofErr w:type="spellEnd"/>
            <w:r>
              <w:t xml:space="preserve">, </w:t>
            </w:r>
            <w:proofErr w:type="spellStart"/>
            <w:r>
              <w:t>аналітичними</w:t>
            </w:r>
            <w:proofErr w:type="spellEnd"/>
            <w:r>
              <w:t>);</w:t>
            </w:r>
          </w:p>
          <w:p w:rsidR="00CA068C" w:rsidRDefault="00CA068C">
            <w:pPr>
              <w:tabs>
                <w:tab w:val="left" w:pos="172"/>
              </w:tabs>
              <w:suppressAutoHyphens/>
              <w:ind w:left="-48" w:firstLine="336"/>
              <w:jc w:val="both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логічні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</w:t>
            </w:r>
            <w:proofErr w:type="gramEnd"/>
            <w:r>
              <w:t>ідсумками</w:t>
            </w:r>
            <w:proofErr w:type="spellEnd"/>
            <w:r>
              <w:t xml:space="preserve"> </w:t>
            </w:r>
            <w:proofErr w:type="spellStart"/>
            <w:r>
              <w:t>проведеного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>;</w:t>
            </w:r>
          </w:p>
          <w:p w:rsidR="00CA068C" w:rsidRDefault="00CA068C">
            <w:pPr>
              <w:tabs>
                <w:tab w:val="left" w:pos="172"/>
              </w:tabs>
              <w:suppressAutoHyphens/>
              <w:ind w:left="-48" w:firstLine="336"/>
              <w:jc w:val="both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прогнозувати</w:t>
            </w:r>
            <w:proofErr w:type="spellEnd"/>
            <w:r>
              <w:t xml:space="preserve"> </w:t>
            </w:r>
            <w:proofErr w:type="spellStart"/>
            <w:r>
              <w:t>виникнення</w:t>
            </w:r>
            <w:proofErr w:type="spellEnd"/>
            <w:r>
              <w:t xml:space="preserve"> </w:t>
            </w:r>
            <w:proofErr w:type="spellStart"/>
            <w:r>
              <w:t>проблемних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готувати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можливих</w:t>
            </w:r>
            <w:proofErr w:type="spellEnd"/>
            <w:r>
              <w:t xml:space="preserve"> </w:t>
            </w:r>
            <w:proofErr w:type="spellStart"/>
            <w:r>
              <w:t>шляхів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розв’язання</w:t>
            </w:r>
            <w:proofErr w:type="spellEnd"/>
            <w:r>
              <w:t>;</w:t>
            </w:r>
          </w:p>
          <w:p w:rsidR="00CA068C" w:rsidRDefault="00CA068C">
            <w:pPr>
              <w:tabs>
                <w:tab w:val="left" w:pos="172"/>
              </w:tabs>
              <w:suppressAutoHyphens/>
              <w:ind w:left="-48"/>
              <w:jc w:val="both"/>
              <w:rPr>
                <w:color w:val="FF0000"/>
                <w:lang w:val="uk-UA"/>
              </w:rPr>
            </w:pPr>
            <w:r>
              <w:t xml:space="preserve">    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діловодства</w:t>
            </w:r>
            <w:proofErr w:type="spellEnd"/>
            <w:r>
              <w:t xml:space="preserve">, </w:t>
            </w:r>
            <w:proofErr w:type="spellStart"/>
            <w:r>
              <w:t>ділового</w:t>
            </w:r>
            <w:proofErr w:type="spellEnd"/>
            <w:r>
              <w:t xml:space="preserve"> </w:t>
            </w:r>
            <w:proofErr w:type="spellStart"/>
            <w:r>
              <w:t>листування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розпорядчого</w:t>
            </w:r>
            <w:proofErr w:type="spellEnd"/>
            <w:r>
              <w:t xml:space="preserve">, </w:t>
            </w:r>
            <w:proofErr w:type="spellStart"/>
            <w:r>
              <w:t>ділового</w:t>
            </w:r>
            <w:proofErr w:type="spellEnd"/>
            <w:r>
              <w:t xml:space="preserve"> </w:t>
            </w:r>
            <w:r>
              <w:lastRenderedPageBreak/>
              <w:t xml:space="preserve">характеру, </w:t>
            </w:r>
            <w:proofErr w:type="spellStart"/>
            <w:r>
              <w:t>аналітичних</w:t>
            </w:r>
            <w:proofErr w:type="spellEnd"/>
            <w:r>
              <w:t xml:space="preserve"> </w:t>
            </w:r>
            <w:proofErr w:type="spellStart"/>
            <w:r>
              <w:t>довідок</w:t>
            </w:r>
            <w:proofErr w:type="spellEnd"/>
            <w:r>
              <w:t>.</w:t>
            </w:r>
          </w:p>
        </w:tc>
      </w:tr>
    </w:tbl>
    <w:p w:rsidR="00CA068C" w:rsidRDefault="00CA068C" w:rsidP="00CA068C">
      <w:pPr>
        <w:rPr>
          <w:sz w:val="26"/>
          <w:szCs w:val="26"/>
          <w:lang w:val="uk-UA"/>
        </w:rPr>
      </w:pPr>
    </w:p>
    <w:p w:rsidR="00CA068C" w:rsidRDefault="00CA068C" w:rsidP="00CA068C">
      <w:pPr>
        <w:tabs>
          <w:tab w:val="left" w:pos="1188"/>
        </w:tabs>
        <w:spacing w:line="232" w:lineRule="auto"/>
        <w:ind w:firstLine="709"/>
        <w:jc w:val="both"/>
        <w:rPr>
          <w:szCs w:val="28"/>
        </w:rPr>
      </w:pPr>
    </w:p>
    <w:p w:rsidR="008A5EA7" w:rsidRDefault="008A5EA7"/>
    <w:sectPr w:rsidR="008A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68C"/>
    <w:rsid w:val="008A5EA7"/>
    <w:rsid w:val="00C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06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CA06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rvps12">
    <w:name w:val="rvps12"/>
    <w:basedOn w:val="a"/>
    <w:rsid w:val="00CA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A06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CA068C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  <w:style w:type="paragraph" w:customStyle="1" w:styleId="-1">
    <w:name w:val="Лексикон-1"/>
    <w:basedOn w:val="a"/>
    <w:rsid w:val="00CA068C"/>
    <w:pPr>
      <w:tabs>
        <w:tab w:val="right" w:pos="9923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15">
    <w:name w:val="rvts15"/>
    <w:basedOn w:val="a0"/>
    <w:rsid w:val="00CA068C"/>
  </w:style>
  <w:style w:type="character" w:customStyle="1" w:styleId="rvts23">
    <w:name w:val="rvts23"/>
    <w:rsid w:val="00CA068C"/>
  </w:style>
  <w:style w:type="character" w:styleId="a5">
    <w:name w:val="Hyperlink"/>
    <w:basedOn w:val="a0"/>
    <w:uiPriority w:val="99"/>
    <w:semiHidden/>
    <w:unhideWhenUsed/>
    <w:rsid w:val="00CA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5946</Characters>
  <Application>Microsoft Office Word</Application>
  <DocSecurity>0</DocSecurity>
  <Lines>49</Lines>
  <Paragraphs>13</Paragraphs>
  <ScaleCrop>false</ScaleCrop>
  <Company>Ya Blondinko Edition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2018-08-13T11:18:00Z</dcterms:created>
  <dcterms:modified xsi:type="dcterms:W3CDTF">2018-08-13T11:18:00Z</dcterms:modified>
</cp:coreProperties>
</file>